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21976" w14:textId="180B2644" w:rsidR="005F7685" w:rsidRDefault="009E6C28" w:rsidP="009E6C28">
      <w:pPr>
        <w:jc w:val="center"/>
        <w:rPr>
          <w:b/>
          <w:bCs/>
          <w:sz w:val="32"/>
          <w:szCs w:val="32"/>
        </w:rPr>
      </w:pPr>
      <w:r w:rsidRPr="009E6C28">
        <w:rPr>
          <w:b/>
          <w:bCs/>
          <w:sz w:val="32"/>
          <w:szCs w:val="32"/>
        </w:rPr>
        <w:t>TIPS TO USE WHEN WORKING WITH NEWCOMERS WHO ARE DEAF</w:t>
      </w:r>
      <w:r w:rsidR="00892134">
        <w:rPr>
          <w:b/>
          <w:bCs/>
          <w:sz w:val="32"/>
          <w:szCs w:val="32"/>
        </w:rPr>
        <w:t xml:space="preserve"> OR HARD OF HEARING</w:t>
      </w:r>
    </w:p>
    <w:p w14:paraId="78C7D0CC" w14:textId="363C7AE3" w:rsidR="009E6C28" w:rsidRDefault="009E6C28" w:rsidP="009E6C28">
      <w:pPr>
        <w:jc w:val="center"/>
        <w:rPr>
          <w:i/>
          <w:iCs/>
          <w:sz w:val="26"/>
          <w:szCs w:val="26"/>
        </w:rPr>
      </w:pPr>
      <w:r w:rsidRPr="009E6C28">
        <w:rPr>
          <w:i/>
          <w:iCs/>
          <w:sz w:val="26"/>
          <w:szCs w:val="26"/>
        </w:rPr>
        <w:t xml:space="preserve">This tip sheet was created using resources and information from </w:t>
      </w:r>
      <w:r w:rsidR="00C62694">
        <w:rPr>
          <w:i/>
          <w:iCs/>
          <w:sz w:val="26"/>
          <w:szCs w:val="26"/>
        </w:rPr>
        <w:t>the Canadian Association of the Deaf</w:t>
      </w:r>
      <w:r w:rsidR="00145A8F">
        <w:rPr>
          <w:i/>
          <w:iCs/>
          <w:sz w:val="26"/>
          <w:szCs w:val="26"/>
        </w:rPr>
        <w:t xml:space="preserve">, </w:t>
      </w:r>
      <w:r w:rsidR="00134DA7">
        <w:rPr>
          <w:i/>
          <w:iCs/>
          <w:sz w:val="26"/>
          <w:szCs w:val="26"/>
        </w:rPr>
        <w:t>Ontario Council of Universities Accessible Campus resource</w:t>
      </w:r>
      <w:r w:rsidR="00145A8F">
        <w:rPr>
          <w:i/>
          <w:iCs/>
          <w:sz w:val="26"/>
          <w:szCs w:val="26"/>
        </w:rPr>
        <w:t xml:space="preserve">, </w:t>
      </w:r>
      <w:r w:rsidR="002C01DA">
        <w:rPr>
          <w:i/>
          <w:iCs/>
          <w:sz w:val="26"/>
          <w:szCs w:val="26"/>
        </w:rPr>
        <w:t xml:space="preserve">and </w:t>
      </w:r>
      <w:r w:rsidR="00145A8F">
        <w:rPr>
          <w:i/>
          <w:iCs/>
          <w:sz w:val="26"/>
          <w:szCs w:val="26"/>
        </w:rPr>
        <w:t xml:space="preserve">Ontario Association of Sign Language Interpreters </w:t>
      </w:r>
    </w:p>
    <w:p w14:paraId="679AEC06" w14:textId="547C7657" w:rsidR="00940163" w:rsidRDefault="00134DA7" w:rsidP="009401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Us</w:t>
      </w:r>
      <w:r w:rsidR="00145A8F">
        <w:rPr>
          <w:b/>
          <w:bCs/>
          <w:sz w:val="24"/>
          <w:szCs w:val="24"/>
        </w:rPr>
        <w:t>age of</w:t>
      </w:r>
      <w:r>
        <w:rPr>
          <w:b/>
          <w:bCs/>
          <w:sz w:val="24"/>
          <w:szCs w:val="24"/>
        </w:rPr>
        <w:t xml:space="preserve"> </w:t>
      </w:r>
      <w:r w:rsidR="00422D22">
        <w:rPr>
          <w:b/>
          <w:bCs/>
          <w:sz w:val="24"/>
          <w:szCs w:val="24"/>
        </w:rPr>
        <w:t>“</w:t>
      </w:r>
      <w:r w:rsidR="00C62694" w:rsidRPr="00C62694">
        <w:rPr>
          <w:b/>
          <w:bCs/>
          <w:sz w:val="24"/>
          <w:szCs w:val="24"/>
        </w:rPr>
        <w:t>Deaf</w:t>
      </w:r>
      <w:r w:rsidR="00422D22">
        <w:rPr>
          <w:b/>
          <w:bCs/>
          <w:sz w:val="24"/>
          <w:szCs w:val="24"/>
        </w:rPr>
        <w:t>”</w:t>
      </w:r>
      <w:r w:rsidR="00C62694" w:rsidRPr="00C62694">
        <w:rPr>
          <w:b/>
          <w:bCs/>
          <w:sz w:val="24"/>
          <w:szCs w:val="24"/>
        </w:rPr>
        <w:t xml:space="preserve"> vs. </w:t>
      </w:r>
      <w:r w:rsidR="00422D22">
        <w:rPr>
          <w:b/>
          <w:bCs/>
          <w:sz w:val="24"/>
          <w:szCs w:val="24"/>
        </w:rPr>
        <w:t>“</w:t>
      </w:r>
      <w:r w:rsidR="00C62694" w:rsidRPr="00C62694">
        <w:rPr>
          <w:b/>
          <w:bCs/>
          <w:sz w:val="24"/>
          <w:szCs w:val="24"/>
        </w:rPr>
        <w:t>deaf</w:t>
      </w:r>
      <w:r w:rsidR="00422D22">
        <w:rPr>
          <w:b/>
          <w:bCs/>
          <w:sz w:val="24"/>
          <w:szCs w:val="24"/>
        </w:rPr>
        <w:t>”</w:t>
      </w:r>
      <w:r w:rsidR="00C62694">
        <w:rPr>
          <w:sz w:val="24"/>
          <w:szCs w:val="24"/>
        </w:rPr>
        <w:t xml:space="preserve">. </w:t>
      </w:r>
      <w:r w:rsidR="00940163" w:rsidRPr="00940163">
        <w:rPr>
          <w:sz w:val="24"/>
          <w:szCs w:val="24"/>
        </w:rPr>
        <w:t xml:space="preserve">The term “Deaf” with an uppercase “D” </w:t>
      </w:r>
      <w:r w:rsidR="009E657A">
        <w:rPr>
          <w:sz w:val="24"/>
          <w:szCs w:val="24"/>
        </w:rPr>
        <w:t>refers to</w:t>
      </w:r>
      <w:r w:rsidR="00940163" w:rsidRPr="00940163">
        <w:rPr>
          <w:sz w:val="24"/>
          <w:szCs w:val="24"/>
        </w:rPr>
        <w:t xml:space="preserve"> </w:t>
      </w:r>
      <w:r w:rsidR="00940163">
        <w:rPr>
          <w:sz w:val="24"/>
          <w:szCs w:val="24"/>
        </w:rPr>
        <w:t xml:space="preserve">members of </w:t>
      </w:r>
      <w:r w:rsidR="00940163" w:rsidRPr="00940163">
        <w:rPr>
          <w:sz w:val="24"/>
          <w:szCs w:val="24"/>
        </w:rPr>
        <w:t xml:space="preserve">a </w:t>
      </w:r>
      <w:r w:rsidR="00940163">
        <w:rPr>
          <w:sz w:val="24"/>
          <w:szCs w:val="24"/>
        </w:rPr>
        <w:t xml:space="preserve">distinct cultural </w:t>
      </w:r>
      <w:r w:rsidR="00940163" w:rsidRPr="00940163">
        <w:rPr>
          <w:sz w:val="24"/>
          <w:szCs w:val="24"/>
        </w:rPr>
        <w:t>group</w:t>
      </w:r>
      <w:r w:rsidR="00940163">
        <w:rPr>
          <w:sz w:val="24"/>
          <w:szCs w:val="24"/>
        </w:rPr>
        <w:t xml:space="preserve"> whose first language is </w:t>
      </w:r>
      <w:r w:rsidR="00C62694">
        <w:rPr>
          <w:sz w:val="24"/>
          <w:szCs w:val="24"/>
        </w:rPr>
        <w:t>Sign</w:t>
      </w:r>
      <w:r w:rsidR="000455D0">
        <w:rPr>
          <w:rStyle w:val="FootnoteReference"/>
          <w:sz w:val="24"/>
          <w:szCs w:val="24"/>
        </w:rPr>
        <w:footnoteReference w:id="1"/>
      </w:r>
      <w:r w:rsidR="00940163">
        <w:rPr>
          <w:sz w:val="24"/>
          <w:szCs w:val="24"/>
        </w:rPr>
        <w:t xml:space="preserve">. Some people who have </w:t>
      </w:r>
      <w:r w:rsidR="005B4C29">
        <w:rPr>
          <w:sz w:val="24"/>
          <w:szCs w:val="24"/>
        </w:rPr>
        <w:t>complete</w:t>
      </w:r>
      <w:r w:rsidR="00940163">
        <w:rPr>
          <w:sz w:val="24"/>
          <w:szCs w:val="24"/>
        </w:rPr>
        <w:t xml:space="preserve"> or partial hearing loss may not identify as part of this group and may instead use the term “deaf” with a lowercase “d”</w:t>
      </w:r>
      <w:r w:rsidR="000455D0">
        <w:rPr>
          <w:rStyle w:val="FootnoteReference"/>
          <w:sz w:val="24"/>
          <w:szCs w:val="24"/>
        </w:rPr>
        <w:footnoteReference w:id="2"/>
      </w:r>
      <w:r w:rsidR="00940163">
        <w:rPr>
          <w:sz w:val="24"/>
          <w:szCs w:val="24"/>
        </w:rPr>
        <w:t xml:space="preserve">. </w:t>
      </w:r>
    </w:p>
    <w:p w14:paraId="350B8DBF" w14:textId="7DAB654F" w:rsidR="00D81980" w:rsidRPr="00D81980" w:rsidRDefault="00892134" w:rsidP="00D819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Usage of “hard of hearing”</w:t>
      </w:r>
      <w:r w:rsidRPr="00892134">
        <w:rPr>
          <w:sz w:val="24"/>
          <w:szCs w:val="24"/>
        </w:rPr>
        <w:t>.</w:t>
      </w:r>
      <w:r>
        <w:rPr>
          <w:sz w:val="24"/>
          <w:szCs w:val="24"/>
        </w:rPr>
        <w:t xml:space="preserve"> This term refers to “individuals who have a hearing loss ranging from mild to severe and who use their voice and residual hearing – and occasionally sign language – for communication”</w:t>
      </w:r>
      <w:r>
        <w:rPr>
          <w:rStyle w:val="FootnoteReference"/>
          <w:sz w:val="24"/>
          <w:szCs w:val="24"/>
        </w:rPr>
        <w:footnoteReference w:id="3"/>
      </w:r>
      <w:r>
        <w:rPr>
          <w:sz w:val="24"/>
          <w:szCs w:val="24"/>
        </w:rPr>
        <w:t xml:space="preserve">. </w:t>
      </w:r>
    </w:p>
    <w:p w14:paraId="429A8A7A" w14:textId="6F31EBB5" w:rsidR="00422D22" w:rsidRDefault="00940163" w:rsidP="000455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2694">
        <w:rPr>
          <w:b/>
          <w:bCs/>
          <w:sz w:val="24"/>
          <w:szCs w:val="24"/>
        </w:rPr>
        <w:t xml:space="preserve">There </w:t>
      </w:r>
      <w:r w:rsidR="0053255B">
        <w:rPr>
          <w:b/>
          <w:bCs/>
          <w:sz w:val="24"/>
          <w:szCs w:val="24"/>
        </w:rPr>
        <w:t>are many different sign languages around the world</w:t>
      </w:r>
      <w:r>
        <w:rPr>
          <w:sz w:val="24"/>
          <w:szCs w:val="24"/>
        </w:rPr>
        <w:t xml:space="preserve">. </w:t>
      </w:r>
      <w:r w:rsidR="00C62694">
        <w:rPr>
          <w:sz w:val="24"/>
          <w:szCs w:val="24"/>
        </w:rPr>
        <w:t>As is true with</w:t>
      </w:r>
      <w:r>
        <w:rPr>
          <w:sz w:val="24"/>
          <w:szCs w:val="24"/>
        </w:rPr>
        <w:t xml:space="preserve"> verbal languages, sign languages vary </w:t>
      </w:r>
      <w:r w:rsidR="009E657A">
        <w:rPr>
          <w:sz w:val="24"/>
          <w:szCs w:val="24"/>
        </w:rPr>
        <w:t>along with</w:t>
      </w:r>
      <w:r>
        <w:rPr>
          <w:sz w:val="24"/>
          <w:szCs w:val="24"/>
        </w:rPr>
        <w:t xml:space="preserve"> the</w:t>
      </w:r>
      <w:r w:rsidR="0053255B">
        <w:rPr>
          <w:sz w:val="24"/>
          <w:szCs w:val="24"/>
        </w:rPr>
        <w:t xml:space="preserve"> history of their</w:t>
      </w:r>
      <w:r>
        <w:rPr>
          <w:sz w:val="24"/>
          <w:szCs w:val="24"/>
        </w:rPr>
        <w:t xml:space="preserve"> country of origin and the people who s</w:t>
      </w:r>
      <w:r w:rsidR="000B24C3">
        <w:rPr>
          <w:sz w:val="24"/>
          <w:szCs w:val="24"/>
        </w:rPr>
        <w:t>ign</w:t>
      </w:r>
      <w:r>
        <w:rPr>
          <w:sz w:val="24"/>
          <w:szCs w:val="24"/>
        </w:rPr>
        <w:t xml:space="preserve"> them. In Canada, American Sign Language (ASL) and </w:t>
      </w:r>
      <w:r w:rsidR="00C62694">
        <w:rPr>
          <w:sz w:val="24"/>
          <w:szCs w:val="24"/>
        </w:rPr>
        <w:t xml:space="preserve">Langue des </w:t>
      </w:r>
      <w:proofErr w:type="spellStart"/>
      <w:r w:rsidR="00C62694">
        <w:rPr>
          <w:sz w:val="24"/>
          <w:szCs w:val="24"/>
        </w:rPr>
        <w:t>signes</w:t>
      </w:r>
      <w:proofErr w:type="spellEnd"/>
      <w:r w:rsidR="00C62694">
        <w:rPr>
          <w:sz w:val="24"/>
          <w:szCs w:val="24"/>
        </w:rPr>
        <w:t xml:space="preserve"> </w:t>
      </w:r>
      <w:proofErr w:type="spellStart"/>
      <w:r w:rsidR="00C62694">
        <w:rPr>
          <w:sz w:val="24"/>
          <w:szCs w:val="24"/>
        </w:rPr>
        <w:t>qu</w:t>
      </w:r>
      <w:r w:rsidR="00C62694">
        <w:rPr>
          <w:rFonts w:cstheme="minorHAnsi"/>
          <w:sz w:val="24"/>
          <w:szCs w:val="24"/>
        </w:rPr>
        <w:t>é</w:t>
      </w:r>
      <w:r w:rsidR="00C62694">
        <w:rPr>
          <w:sz w:val="24"/>
          <w:szCs w:val="24"/>
        </w:rPr>
        <w:t>b</w:t>
      </w:r>
      <w:r w:rsidR="00C62694">
        <w:rPr>
          <w:rFonts w:cstheme="minorHAnsi"/>
          <w:sz w:val="24"/>
          <w:szCs w:val="24"/>
        </w:rPr>
        <w:t>é</w:t>
      </w:r>
      <w:r w:rsidR="00C62694">
        <w:rPr>
          <w:sz w:val="24"/>
          <w:szCs w:val="24"/>
        </w:rPr>
        <w:t>coise</w:t>
      </w:r>
      <w:proofErr w:type="spellEnd"/>
      <w:r w:rsidR="00C62694">
        <w:rPr>
          <w:sz w:val="24"/>
          <w:szCs w:val="24"/>
        </w:rPr>
        <w:t xml:space="preserve"> (LSQ)</w:t>
      </w:r>
      <w:r>
        <w:rPr>
          <w:sz w:val="24"/>
          <w:szCs w:val="24"/>
        </w:rPr>
        <w:t xml:space="preserve"> are the most common sign languages. </w:t>
      </w:r>
      <w:r w:rsidR="00422D22">
        <w:rPr>
          <w:sz w:val="24"/>
          <w:szCs w:val="24"/>
        </w:rPr>
        <w:t xml:space="preserve">Even in </w:t>
      </w:r>
      <w:r w:rsidR="009E657A">
        <w:rPr>
          <w:sz w:val="24"/>
          <w:szCs w:val="24"/>
        </w:rPr>
        <w:t xml:space="preserve">other </w:t>
      </w:r>
      <w:r w:rsidR="00422D22">
        <w:rPr>
          <w:sz w:val="24"/>
          <w:szCs w:val="24"/>
        </w:rPr>
        <w:t>countries where English and French are</w:t>
      </w:r>
      <w:r w:rsidR="00134DA7">
        <w:rPr>
          <w:sz w:val="24"/>
          <w:szCs w:val="24"/>
        </w:rPr>
        <w:t xml:space="preserve"> </w:t>
      </w:r>
      <w:r w:rsidR="00422D22">
        <w:rPr>
          <w:sz w:val="24"/>
          <w:szCs w:val="24"/>
        </w:rPr>
        <w:t>official languages</w:t>
      </w:r>
      <w:r w:rsidR="00145A8F">
        <w:rPr>
          <w:sz w:val="24"/>
          <w:szCs w:val="24"/>
        </w:rPr>
        <w:t xml:space="preserve">, </w:t>
      </w:r>
      <w:r w:rsidR="00134DA7">
        <w:rPr>
          <w:sz w:val="24"/>
          <w:szCs w:val="24"/>
        </w:rPr>
        <w:t>there are different and often distinct</w:t>
      </w:r>
      <w:r w:rsidR="00422D22">
        <w:rPr>
          <w:sz w:val="24"/>
          <w:szCs w:val="24"/>
        </w:rPr>
        <w:t xml:space="preserve"> sign languages</w:t>
      </w:r>
      <w:r w:rsidR="005B430E">
        <w:rPr>
          <w:sz w:val="24"/>
          <w:szCs w:val="24"/>
        </w:rPr>
        <w:t xml:space="preserve">, including British Sign Language and French Sign Language. </w:t>
      </w:r>
    </w:p>
    <w:p w14:paraId="5F547C53" w14:textId="44B8571E" w:rsidR="00D81980" w:rsidRDefault="00D81980" w:rsidP="00D819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At events</w:t>
      </w:r>
      <w:r w:rsidR="0087165F">
        <w:rPr>
          <w:b/>
          <w:bCs/>
          <w:sz w:val="24"/>
          <w:szCs w:val="24"/>
        </w:rPr>
        <w:t>, programs</w:t>
      </w:r>
      <w:r>
        <w:rPr>
          <w:b/>
          <w:bCs/>
          <w:sz w:val="24"/>
          <w:szCs w:val="24"/>
        </w:rPr>
        <w:t xml:space="preserve"> and meals, let the D/deaf person(s) decide where they want to sit</w:t>
      </w:r>
      <w:r w:rsidRPr="00F769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7165F">
        <w:rPr>
          <w:sz w:val="24"/>
          <w:szCs w:val="24"/>
        </w:rPr>
        <w:t>They are the best person to</w:t>
      </w:r>
      <w:r w:rsidR="000E20AB">
        <w:rPr>
          <w:sz w:val="24"/>
          <w:szCs w:val="24"/>
        </w:rPr>
        <w:t xml:space="preserve"> address their own</w:t>
      </w:r>
      <w:r w:rsidR="0087165F">
        <w:rPr>
          <w:sz w:val="24"/>
          <w:szCs w:val="24"/>
        </w:rPr>
        <w:t xml:space="preserve"> accessibility needs. </w:t>
      </w:r>
      <w:r w:rsidR="00F9540D">
        <w:rPr>
          <w:sz w:val="24"/>
          <w:szCs w:val="24"/>
        </w:rPr>
        <w:t>For example, if</w:t>
      </w:r>
      <w:r>
        <w:rPr>
          <w:sz w:val="24"/>
          <w:szCs w:val="24"/>
        </w:rPr>
        <w:t xml:space="preserve"> your event employs a sign language interpreter, the D/deaf person(s) </w:t>
      </w:r>
      <w:r w:rsidR="00F9540D">
        <w:rPr>
          <w:sz w:val="24"/>
          <w:szCs w:val="24"/>
        </w:rPr>
        <w:t>needs</w:t>
      </w:r>
      <w:r>
        <w:rPr>
          <w:sz w:val="24"/>
          <w:szCs w:val="24"/>
        </w:rPr>
        <w:t xml:space="preserve"> to sit close enough to the interpreter </w:t>
      </w:r>
      <w:r w:rsidR="00176D53">
        <w:rPr>
          <w:sz w:val="24"/>
          <w:szCs w:val="24"/>
        </w:rPr>
        <w:t xml:space="preserve">to </w:t>
      </w:r>
      <w:r>
        <w:rPr>
          <w:sz w:val="24"/>
          <w:szCs w:val="24"/>
        </w:rPr>
        <w:t>see them signing. Encouraging D/deaf guests</w:t>
      </w:r>
      <w:r w:rsidR="004518F9">
        <w:rPr>
          <w:sz w:val="24"/>
          <w:szCs w:val="24"/>
        </w:rPr>
        <w:t xml:space="preserve"> and clients</w:t>
      </w:r>
      <w:r>
        <w:rPr>
          <w:sz w:val="24"/>
          <w:szCs w:val="24"/>
        </w:rPr>
        <w:t xml:space="preserve"> to choose their own seat gives them the freedom to </w:t>
      </w:r>
      <w:r w:rsidR="004518F9">
        <w:rPr>
          <w:sz w:val="24"/>
          <w:szCs w:val="24"/>
        </w:rPr>
        <w:t xml:space="preserve">best meet their own communication needs. </w:t>
      </w:r>
    </w:p>
    <w:p w14:paraId="541F65B8" w14:textId="01483731" w:rsidR="000E3F00" w:rsidRDefault="000E3F00" w:rsidP="000E3F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C6B94">
        <w:rPr>
          <w:b/>
          <w:bCs/>
          <w:sz w:val="24"/>
          <w:szCs w:val="24"/>
        </w:rPr>
        <w:t>Make sure the person you’re communicating with knows you’re there before speaking</w:t>
      </w:r>
      <w:r>
        <w:rPr>
          <w:sz w:val="24"/>
          <w:szCs w:val="24"/>
        </w:rPr>
        <w:t>. A D/deaf person won’t hear you coming up behind them</w:t>
      </w:r>
      <w:r w:rsidR="004B425B">
        <w:rPr>
          <w:sz w:val="24"/>
          <w:szCs w:val="24"/>
        </w:rPr>
        <w:t xml:space="preserve"> and may not know if you’re in a different room</w:t>
      </w:r>
      <w:r>
        <w:rPr>
          <w:sz w:val="24"/>
          <w:szCs w:val="24"/>
        </w:rPr>
        <w:t>. To ensure that you don’t startle them, tap them on the shoulder or calmly wave in their direction before beginning a conversation</w:t>
      </w:r>
      <w:r>
        <w:rPr>
          <w:rStyle w:val="FootnoteReference"/>
          <w:sz w:val="24"/>
          <w:szCs w:val="24"/>
        </w:rPr>
        <w:footnoteReference w:id="4"/>
      </w:r>
      <w:r>
        <w:rPr>
          <w:sz w:val="24"/>
          <w:szCs w:val="24"/>
        </w:rPr>
        <w:t xml:space="preserve">. </w:t>
      </w:r>
    </w:p>
    <w:p w14:paraId="3EA017E7" w14:textId="37F5E622" w:rsidR="00286EDA" w:rsidRDefault="00286EDA" w:rsidP="000E3F0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Do not ask a friend or family member to interpret for a D/deaf person in </w:t>
      </w:r>
      <w:r w:rsidR="00740DA7">
        <w:rPr>
          <w:b/>
          <w:bCs/>
          <w:sz w:val="24"/>
          <w:szCs w:val="24"/>
        </w:rPr>
        <w:t xml:space="preserve">formal </w:t>
      </w:r>
      <w:r>
        <w:rPr>
          <w:b/>
          <w:bCs/>
          <w:sz w:val="24"/>
          <w:szCs w:val="24"/>
        </w:rPr>
        <w:t>service delivery settings</w:t>
      </w:r>
      <w:r w:rsidRPr="00286ED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94C02">
        <w:rPr>
          <w:sz w:val="24"/>
          <w:szCs w:val="24"/>
        </w:rPr>
        <w:t xml:space="preserve">It is unlikely that the friend or family member will know how to </w:t>
      </w:r>
      <w:r w:rsidR="001C6F14">
        <w:rPr>
          <w:sz w:val="24"/>
          <w:szCs w:val="24"/>
        </w:rPr>
        <w:t>express</w:t>
      </w:r>
      <w:r w:rsidR="00494C02">
        <w:rPr>
          <w:sz w:val="24"/>
          <w:szCs w:val="24"/>
        </w:rPr>
        <w:t xml:space="preserve"> concepts and terminology specific to the settlement sector</w:t>
      </w:r>
      <w:r w:rsidR="001C6F14">
        <w:rPr>
          <w:sz w:val="24"/>
          <w:szCs w:val="24"/>
        </w:rPr>
        <w:t xml:space="preserve"> in sign language</w:t>
      </w:r>
      <w:r w:rsidR="00494C02">
        <w:rPr>
          <w:sz w:val="24"/>
          <w:szCs w:val="24"/>
        </w:rPr>
        <w:t xml:space="preserve">. Additionally, the D/deaf client may feel that their right to privacy is not respected if a friend or family is interpreting for them. </w:t>
      </w:r>
      <w:r w:rsidR="00072D9E">
        <w:rPr>
          <w:sz w:val="24"/>
          <w:szCs w:val="24"/>
        </w:rPr>
        <w:t xml:space="preserve">In professional environments, it is always best to book a trained sign language interpreter to support clients. </w:t>
      </w:r>
    </w:p>
    <w:p w14:paraId="634473E8" w14:textId="6590FC81" w:rsidR="000E3F00" w:rsidRPr="00647B97" w:rsidRDefault="00647B97" w:rsidP="00D8198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47B97">
        <w:rPr>
          <w:b/>
          <w:bCs/>
          <w:sz w:val="24"/>
          <w:szCs w:val="24"/>
        </w:rPr>
        <w:t xml:space="preserve">Use technology to your benefit. </w:t>
      </w:r>
      <w:r w:rsidRPr="00647B97">
        <w:rPr>
          <w:sz w:val="24"/>
          <w:szCs w:val="24"/>
        </w:rPr>
        <w:t>Email, texting, instant messaging apps</w:t>
      </w:r>
      <w:r w:rsidR="00A77096">
        <w:rPr>
          <w:sz w:val="24"/>
          <w:szCs w:val="24"/>
        </w:rPr>
        <w:t>, online appointment systems,</w:t>
      </w:r>
      <w:r w:rsidRPr="00647B97">
        <w:rPr>
          <w:sz w:val="24"/>
          <w:szCs w:val="24"/>
        </w:rPr>
        <w:t xml:space="preserve"> </w:t>
      </w:r>
      <w:r w:rsidR="00A478BE">
        <w:rPr>
          <w:sz w:val="24"/>
          <w:szCs w:val="24"/>
        </w:rPr>
        <w:t xml:space="preserve">and online relay services </w:t>
      </w:r>
      <w:r w:rsidRPr="00647B97">
        <w:rPr>
          <w:sz w:val="24"/>
          <w:szCs w:val="24"/>
        </w:rPr>
        <w:t xml:space="preserve">are all tools </w:t>
      </w:r>
      <w:r w:rsidR="00A478BE">
        <w:rPr>
          <w:sz w:val="24"/>
          <w:szCs w:val="24"/>
        </w:rPr>
        <w:t>you can</w:t>
      </w:r>
      <w:r w:rsidRPr="00647B97">
        <w:rPr>
          <w:sz w:val="24"/>
          <w:szCs w:val="24"/>
        </w:rPr>
        <w:t xml:space="preserve"> use with people who are D/deaf or hard of hearing.</w:t>
      </w:r>
      <w:r>
        <w:rPr>
          <w:b/>
          <w:bCs/>
          <w:sz w:val="24"/>
          <w:szCs w:val="24"/>
        </w:rPr>
        <w:t xml:space="preserve"> </w:t>
      </w:r>
      <w:r w:rsidR="00F06346" w:rsidRPr="00F06346">
        <w:rPr>
          <w:sz w:val="24"/>
          <w:szCs w:val="24"/>
        </w:rPr>
        <w:t>Apps like Automatic Speech Recognition are also useful in supporting communication</w:t>
      </w:r>
      <w:r w:rsidR="00F06346">
        <w:rPr>
          <w:rStyle w:val="FootnoteReference"/>
          <w:sz w:val="24"/>
          <w:szCs w:val="24"/>
        </w:rPr>
        <w:footnoteReference w:id="5"/>
      </w:r>
      <w:r w:rsidR="00F06346" w:rsidRPr="00F06346">
        <w:rPr>
          <w:sz w:val="24"/>
          <w:szCs w:val="24"/>
        </w:rPr>
        <w:t>.</w:t>
      </w:r>
      <w:r w:rsidR="00F06346">
        <w:rPr>
          <w:b/>
          <w:bCs/>
          <w:sz w:val="24"/>
          <w:szCs w:val="24"/>
        </w:rPr>
        <w:t xml:space="preserve"> </w:t>
      </w:r>
    </w:p>
    <w:p w14:paraId="0F76E5A4" w14:textId="09DA7D69" w:rsidR="00D81980" w:rsidRDefault="000E3F00" w:rsidP="000455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In meetings and other group settings, m</w:t>
      </w:r>
      <w:r w:rsidR="00D81980" w:rsidRPr="00D81980">
        <w:rPr>
          <w:b/>
          <w:bCs/>
          <w:sz w:val="24"/>
          <w:szCs w:val="24"/>
        </w:rPr>
        <w:t>ake sure people take turns speaking</w:t>
      </w:r>
      <w:r w:rsidR="00D81980">
        <w:rPr>
          <w:sz w:val="24"/>
          <w:szCs w:val="24"/>
        </w:rPr>
        <w:t>. It is difficult for a D/deaf person to lip read</w:t>
      </w:r>
      <w:r w:rsidR="00740DA7">
        <w:rPr>
          <w:sz w:val="24"/>
          <w:szCs w:val="24"/>
        </w:rPr>
        <w:t xml:space="preserve"> and following along with the conversation</w:t>
      </w:r>
      <w:r w:rsidR="00D81980">
        <w:rPr>
          <w:sz w:val="24"/>
          <w:szCs w:val="24"/>
        </w:rPr>
        <w:t xml:space="preserve"> if more than one person is talking. Similarly, a sign language interpreter cannot translate more than one person’s speech at a time. A person who is hard of hearing may have difficulty following a conversation if there are </w:t>
      </w:r>
      <w:r w:rsidR="00DC3B92">
        <w:rPr>
          <w:sz w:val="24"/>
          <w:szCs w:val="24"/>
        </w:rPr>
        <w:t>several</w:t>
      </w:r>
      <w:r w:rsidR="00D81980">
        <w:rPr>
          <w:sz w:val="24"/>
          <w:szCs w:val="24"/>
        </w:rPr>
        <w:t xml:space="preserve"> overlapping voices. </w:t>
      </w:r>
    </w:p>
    <w:p w14:paraId="260F053A" w14:textId="5583896B" w:rsidR="00145A8F" w:rsidRPr="00B31888" w:rsidRDefault="00BE1A99" w:rsidP="008921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When communicating with a D/deaf person, make sure you are in a </w:t>
      </w:r>
      <w:r w:rsidRPr="00BE1A99">
        <w:rPr>
          <w:b/>
          <w:bCs/>
          <w:sz w:val="24"/>
          <w:szCs w:val="24"/>
        </w:rPr>
        <w:t>well-lit area where they can clearly see your face</w:t>
      </w:r>
      <w:r>
        <w:rPr>
          <w:rStyle w:val="FootnoteReference"/>
          <w:b/>
          <w:bCs/>
          <w:sz w:val="24"/>
          <w:szCs w:val="24"/>
        </w:rPr>
        <w:footnoteReference w:id="6"/>
      </w:r>
      <w:r>
        <w:rPr>
          <w:sz w:val="24"/>
          <w:szCs w:val="24"/>
        </w:rPr>
        <w:t xml:space="preserve">. Do not put your hands over or otherwise obscure your face. In Deaf culture, facial expressions are a big part of communication. </w:t>
      </w:r>
      <w:r w:rsidR="009F138B">
        <w:rPr>
          <w:sz w:val="24"/>
          <w:szCs w:val="24"/>
        </w:rPr>
        <w:t>Additionally, the</w:t>
      </w:r>
      <w:r>
        <w:rPr>
          <w:sz w:val="24"/>
          <w:szCs w:val="24"/>
        </w:rPr>
        <w:t xml:space="preserve"> person may be relying on lip-reading to communicate with you. </w:t>
      </w:r>
    </w:p>
    <w:p w14:paraId="58AC6097" w14:textId="7A283D4D" w:rsidR="00B31888" w:rsidRDefault="00B31888" w:rsidP="00B31888">
      <w:pPr>
        <w:jc w:val="center"/>
        <w:rPr>
          <w:i/>
          <w:iCs/>
          <w:sz w:val="26"/>
          <w:szCs w:val="26"/>
        </w:rPr>
      </w:pPr>
      <w:r w:rsidRPr="00B31888">
        <w:rPr>
          <w:i/>
          <w:iCs/>
          <w:sz w:val="26"/>
          <w:szCs w:val="26"/>
        </w:rPr>
        <w:t>Terminology to avoid when working with people who are D/deaf and hard of hearing</w:t>
      </w:r>
    </w:p>
    <w:p w14:paraId="34954EB0" w14:textId="7D3AAB42" w:rsidR="00B31888" w:rsidRDefault="00B31888" w:rsidP="00B318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Hearing-impaired</w:t>
      </w:r>
    </w:p>
    <w:p w14:paraId="11830257" w14:textId="0F8BB574" w:rsidR="00B31888" w:rsidRDefault="00B31888" w:rsidP="00B318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Deaf-mute</w:t>
      </w:r>
    </w:p>
    <w:p w14:paraId="4FAD86A4" w14:textId="78388D9E" w:rsidR="00B31888" w:rsidRDefault="00B31888" w:rsidP="00B318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Deaf-dumb</w:t>
      </w:r>
    </w:p>
    <w:p w14:paraId="52A568BF" w14:textId="3FED785C" w:rsidR="00145A8F" w:rsidRPr="008F185D" w:rsidRDefault="00B31888" w:rsidP="008F185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Many people who </w:t>
      </w:r>
      <w:r w:rsidR="00740DA7">
        <w:rPr>
          <w:sz w:val="24"/>
          <w:szCs w:val="24"/>
        </w:rPr>
        <w:t>are part of the Deaf community</w:t>
      </w:r>
      <w:r>
        <w:rPr>
          <w:sz w:val="24"/>
          <w:szCs w:val="24"/>
        </w:rPr>
        <w:t xml:space="preserve"> do not consider themselves disabled</w:t>
      </w:r>
      <w:r w:rsidR="008F185D">
        <w:rPr>
          <w:rStyle w:val="FootnoteReference"/>
          <w:sz w:val="24"/>
          <w:szCs w:val="24"/>
        </w:rPr>
        <w:footnoteReference w:id="7"/>
      </w:r>
      <w:r>
        <w:rPr>
          <w:sz w:val="24"/>
          <w:szCs w:val="24"/>
        </w:rPr>
        <w:t xml:space="preserve">. This may vary from person to person, but </w:t>
      </w:r>
      <w:r w:rsidR="00740DA7">
        <w:rPr>
          <w:sz w:val="24"/>
          <w:szCs w:val="24"/>
        </w:rPr>
        <w:t xml:space="preserve">it </w:t>
      </w:r>
      <w:r>
        <w:rPr>
          <w:sz w:val="24"/>
          <w:szCs w:val="24"/>
        </w:rPr>
        <w:t>is good to be aware of</w:t>
      </w:r>
      <w:r w:rsidR="00181B73">
        <w:rPr>
          <w:sz w:val="24"/>
          <w:szCs w:val="24"/>
        </w:rPr>
        <w:t xml:space="preserve"> when meeting someone who is D/deaf for the first time. </w:t>
      </w:r>
    </w:p>
    <w:p w14:paraId="78B51446" w14:textId="29483852" w:rsidR="00145A8F" w:rsidRPr="00B31888" w:rsidRDefault="00145A8F" w:rsidP="00145A8F">
      <w:pPr>
        <w:ind w:left="360"/>
        <w:jc w:val="center"/>
        <w:rPr>
          <w:b/>
          <w:bCs/>
          <w:sz w:val="32"/>
          <w:szCs w:val="32"/>
        </w:rPr>
      </w:pPr>
      <w:r w:rsidRPr="00B31888">
        <w:rPr>
          <w:b/>
          <w:bCs/>
          <w:sz w:val="32"/>
          <w:szCs w:val="32"/>
        </w:rPr>
        <w:t>TIPS TO USE WHEN WORKING WITH SIGN LANGUAGE INTERPRETERS</w:t>
      </w:r>
    </w:p>
    <w:p w14:paraId="6DD3321C" w14:textId="50B39D65" w:rsidR="00985C74" w:rsidRPr="004875FB" w:rsidRDefault="00E53740" w:rsidP="00145A8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Sign language interpretation</w:t>
      </w:r>
      <w:r w:rsidR="00985C74" w:rsidRPr="00985C74">
        <w:rPr>
          <w:b/>
          <w:bCs/>
          <w:sz w:val="24"/>
          <w:szCs w:val="24"/>
        </w:rPr>
        <w:t xml:space="preserve"> is a highly-skilled profession. </w:t>
      </w:r>
      <w:r w:rsidR="00985C74" w:rsidRPr="00985C74">
        <w:rPr>
          <w:sz w:val="24"/>
          <w:szCs w:val="24"/>
        </w:rPr>
        <w:t xml:space="preserve">If you know that (a) D/deaf person(s) will attend a meeting or event, you </w:t>
      </w:r>
      <w:r w:rsidR="00985C74">
        <w:rPr>
          <w:sz w:val="24"/>
          <w:szCs w:val="24"/>
        </w:rPr>
        <w:t>need to</w:t>
      </w:r>
      <w:r w:rsidR="00985C74" w:rsidRPr="00985C74">
        <w:rPr>
          <w:sz w:val="24"/>
          <w:szCs w:val="24"/>
        </w:rPr>
        <w:t xml:space="preserve"> build the cost of paying an interpreter into your budget. </w:t>
      </w:r>
      <w:r w:rsidR="0030461E">
        <w:rPr>
          <w:sz w:val="24"/>
          <w:szCs w:val="24"/>
        </w:rPr>
        <w:t xml:space="preserve">Travel expenses and time spent preparing for an event are also compensated. </w:t>
      </w:r>
    </w:p>
    <w:p w14:paraId="16E2ED0D" w14:textId="516077D2" w:rsidR="00985C74" w:rsidRPr="004875FB" w:rsidRDefault="004875FB" w:rsidP="004875FB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D/deaf person(s) attending your event may have an interpreter they prefer to work with</w:t>
      </w:r>
      <w:r w:rsidRPr="004875FB">
        <w:rPr>
          <w:sz w:val="24"/>
          <w:szCs w:val="24"/>
        </w:rPr>
        <w:t xml:space="preserve">, especially if the event is </w:t>
      </w:r>
      <w:r w:rsidR="00CD2572">
        <w:rPr>
          <w:sz w:val="24"/>
          <w:szCs w:val="24"/>
        </w:rPr>
        <w:t>taking place in</w:t>
      </w:r>
      <w:r w:rsidRPr="004875FB">
        <w:rPr>
          <w:sz w:val="24"/>
          <w:szCs w:val="24"/>
        </w:rPr>
        <w:t xml:space="preserve"> their home community.</w:t>
      </w:r>
      <w:r>
        <w:rPr>
          <w:b/>
          <w:bCs/>
          <w:sz w:val="24"/>
          <w:szCs w:val="24"/>
        </w:rPr>
        <w:t xml:space="preserve"> </w:t>
      </w:r>
      <w:r w:rsidRPr="004875FB">
        <w:rPr>
          <w:sz w:val="24"/>
          <w:szCs w:val="24"/>
        </w:rPr>
        <w:t xml:space="preserve">Clarify with the individual(s) involved before booking an interpreter. </w:t>
      </w:r>
    </w:p>
    <w:p w14:paraId="6C9EE7BD" w14:textId="10C34673" w:rsidR="00985C74" w:rsidRDefault="00985C74" w:rsidP="00145A8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75FB">
        <w:rPr>
          <w:b/>
          <w:bCs/>
          <w:sz w:val="24"/>
          <w:szCs w:val="24"/>
        </w:rPr>
        <w:t>Sign language interpreters can be booked through both agencies and independent businesses</w:t>
      </w:r>
      <w:r>
        <w:rPr>
          <w:sz w:val="24"/>
          <w:szCs w:val="24"/>
        </w:rPr>
        <w:t xml:space="preserve">. </w:t>
      </w:r>
      <w:r w:rsidR="004875FB">
        <w:rPr>
          <w:sz w:val="24"/>
          <w:szCs w:val="24"/>
        </w:rPr>
        <w:t>Due to increasing demand for interpreters, their schedules often fill up quickly. It is recommended that interpreters are booked a minimum of 3 weeks in advance of your meeting or event</w:t>
      </w:r>
      <w:r w:rsidR="004875FB">
        <w:rPr>
          <w:rStyle w:val="FootnoteReference"/>
          <w:sz w:val="24"/>
          <w:szCs w:val="24"/>
        </w:rPr>
        <w:footnoteReference w:id="8"/>
      </w:r>
      <w:r w:rsidR="004875FB">
        <w:rPr>
          <w:sz w:val="24"/>
          <w:szCs w:val="24"/>
        </w:rPr>
        <w:t xml:space="preserve">. </w:t>
      </w:r>
    </w:p>
    <w:p w14:paraId="3DA67014" w14:textId="09880684" w:rsidR="00077DC5" w:rsidRPr="00985C74" w:rsidRDefault="00077DC5" w:rsidP="00145A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D1B28">
        <w:rPr>
          <w:b/>
          <w:bCs/>
          <w:sz w:val="24"/>
          <w:szCs w:val="24"/>
        </w:rPr>
        <w:t>Hire interpreters</w:t>
      </w:r>
      <w:r>
        <w:rPr>
          <w:b/>
          <w:bCs/>
          <w:sz w:val="24"/>
          <w:szCs w:val="24"/>
        </w:rPr>
        <w:t xml:space="preserve"> </w:t>
      </w:r>
      <w:r w:rsidR="009D1B28">
        <w:rPr>
          <w:b/>
          <w:bCs/>
          <w:sz w:val="24"/>
          <w:szCs w:val="24"/>
        </w:rPr>
        <w:t>who</w:t>
      </w:r>
      <w:r>
        <w:rPr>
          <w:b/>
          <w:bCs/>
          <w:sz w:val="24"/>
          <w:szCs w:val="24"/>
        </w:rPr>
        <w:t xml:space="preserve"> are active members of the Canadian </w:t>
      </w:r>
      <w:r w:rsidR="003C1B18">
        <w:rPr>
          <w:b/>
          <w:bCs/>
          <w:sz w:val="24"/>
          <w:szCs w:val="24"/>
        </w:rPr>
        <w:t>Association of Sign Language Interpreters</w:t>
      </w:r>
      <w:r w:rsidR="008803D4">
        <w:rPr>
          <w:rStyle w:val="FootnoteReference"/>
          <w:b/>
          <w:bCs/>
          <w:sz w:val="24"/>
          <w:szCs w:val="24"/>
        </w:rPr>
        <w:footnoteReference w:id="9"/>
      </w:r>
      <w:r w:rsidR="008803D4">
        <w:rPr>
          <w:b/>
          <w:bCs/>
          <w:sz w:val="24"/>
          <w:szCs w:val="24"/>
        </w:rPr>
        <w:t xml:space="preserve"> (CASLI)</w:t>
      </w:r>
      <w:r w:rsidR="003C1B18" w:rsidRPr="00A176D6">
        <w:rPr>
          <w:sz w:val="24"/>
          <w:szCs w:val="24"/>
        </w:rPr>
        <w:t xml:space="preserve">, who </w:t>
      </w:r>
      <w:r w:rsidR="00A176D6" w:rsidRPr="00A176D6">
        <w:rPr>
          <w:sz w:val="24"/>
          <w:szCs w:val="24"/>
        </w:rPr>
        <w:t>follow a Code of Ethics and Guidelines for Professional Conduct.</w:t>
      </w:r>
      <w:r w:rsidR="00A176D6">
        <w:rPr>
          <w:b/>
          <w:bCs/>
          <w:sz w:val="24"/>
          <w:szCs w:val="24"/>
        </w:rPr>
        <w:t xml:space="preserve"> </w:t>
      </w:r>
      <w:r w:rsidR="003D5D67" w:rsidRPr="003D5D67">
        <w:rPr>
          <w:sz w:val="24"/>
          <w:szCs w:val="24"/>
        </w:rPr>
        <w:t xml:space="preserve">Members of CASLI will have graduated from a recognized ASL-English Interpreter </w:t>
      </w:r>
      <w:r w:rsidR="003D5D67">
        <w:rPr>
          <w:sz w:val="24"/>
          <w:szCs w:val="24"/>
        </w:rPr>
        <w:t xml:space="preserve">Education </w:t>
      </w:r>
      <w:r w:rsidR="003D5D67" w:rsidRPr="003D5D67">
        <w:rPr>
          <w:sz w:val="24"/>
          <w:szCs w:val="24"/>
        </w:rPr>
        <w:t>Program.</w:t>
      </w:r>
      <w:r w:rsidR="003D5D67">
        <w:rPr>
          <w:b/>
          <w:bCs/>
          <w:sz w:val="24"/>
          <w:szCs w:val="24"/>
        </w:rPr>
        <w:t xml:space="preserve"> </w:t>
      </w:r>
    </w:p>
    <w:p w14:paraId="04780328" w14:textId="5FF28902" w:rsidR="00145A8F" w:rsidRPr="00F10A80" w:rsidRDefault="0041074F" w:rsidP="00F10A8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552C2">
        <w:rPr>
          <w:b/>
          <w:bCs/>
          <w:sz w:val="24"/>
          <w:szCs w:val="24"/>
        </w:rPr>
        <w:t>Where feasible, provide interpreters with information and documents ahead of time so they can prepare.</w:t>
      </w:r>
      <w:r>
        <w:rPr>
          <w:sz w:val="24"/>
          <w:szCs w:val="24"/>
        </w:rPr>
        <w:t xml:space="preserve"> </w:t>
      </w:r>
      <w:r w:rsidR="006552C2">
        <w:rPr>
          <w:sz w:val="24"/>
          <w:szCs w:val="24"/>
        </w:rPr>
        <w:t xml:space="preserve">Agendas, opening and closing remarks, speeches, </w:t>
      </w:r>
      <w:r w:rsidR="008578CE">
        <w:rPr>
          <w:sz w:val="24"/>
          <w:szCs w:val="24"/>
        </w:rPr>
        <w:t xml:space="preserve">research papers, </w:t>
      </w:r>
      <w:r w:rsidR="006552C2">
        <w:rPr>
          <w:sz w:val="24"/>
          <w:szCs w:val="24"/>
        </w:rPr>
        <w:t>tour scripts, slide decks</w:t>
      </w:r>
      <w:r w:rsidR="00985C74">
        <w:rPr>
          <w:sz w:val="24"/>
          <w:szCs w:val="24"/>
        </w:rPr>
        <w:t xml:space="preserve"> </w:t>
      </w:r>
      <w:r w:rsidR="006552C2">
        <w:rPr>
          <w:sz w:val="24"/>
          <w:szCs w:val="24"/>
        </w:rPr>
        <w:t xml:space="preserve">– these are all useful tools for an interpreter to have </w:t>
      </w:r>
      <w:r w:rsidR="006552C2" w:rsidRPr="006552C2">
        <w:rPr>
          <w:i/>
          <w:iCs/>
          <w:sz w:val="24"/>
          <w:szCs w:val="24"/>
        </w:rPr>
        <w:t>before</w:t>
      </w:r>
      <w:r w:rsidR="006552C2">
        <w:rPr>
          <w:sz w:val="24"/>
          <w:szCs w:val="24"/>
        </w:rPr>
        <w:t xml:space="preserve"> they arrive at your event or meeting. </w:t>
      </w:r>
      <w:r w:rsidR="008578CE">
        <w:rPr>
          <w:sz w:val="24"/>
          <w:szCs w:val="24"/>
        </w:rPr>
        <w:t xml:space="preserve">Providing documentation to an interpreter a minimum of two weeks before your event ensures they have time to read the materials. </w:t>
      </w:r>
    </w:p>
    <w:p w14:paraId="1257A816" w14:textId="79261CF3" w:rsidR="00145A8F" w:rsidRPr="0041074F" w:rsidRDefault="00145A8F" w:rsidP="00145A8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145A8F">
        <w:rPr>
          <w:b/>
          <w:bCs/>
          <w:sz w:val="24"/>
          <w:szCs w:val="24"/>
        </w:rPr>
        <w:t xml:space="preserve">If </w:t>
      </w:r>
      <w:r w:rsidR="0041074F">
        <w:rPr>
          <w:b/>
          <w:bCs/>
          <w:sz w:val="24"/>
          <w:szCs w:val="24"/>
        </w:rPr>
        <w:t xml:space="preserve">a </w:t>
      </w:r>
      <w:r w:rsidRPr="00145A8F">
        <w:rPr>
          <w:b/>
          <w:bCs/>
          <w:sz w:val="24"/>
          <w:szCs w:val="24"/>
        </w:rPr>
        <w:t>meeting or event is longer than two hours, you will need to book more than one interpreter</w:t>
      </w:r>
      <w:r w:rsidRPr="00145A8F">
        <w:rPr>
          <w:sz w:val="24"/>
          <w:szCs w:val="24"/>
        </w:rPr>
        <w:t xml:space="preserve">. Interpreting is hard work, and it is important to build capacity into your event for interpreters to take breaks. </w:t>
      </w:r>
    </w:p>
    <w:p w14:paraId="1B2A94E1" w14:textId="54DA42ED" w:rsidR="0041074F" w:rsidRPr="00B044BC" w:rsidRDefault="0041074F" w:rsidP="00145A8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a meeting or event relies on highly technical or </w:t>
      </w:r>
      <w:r w:rsidRPr="0041074F">
        <w:rPr>
          <w:b/>
          <w:bCs/>
          <w:sz w:val="24"/>
          <w:szCs w:val="24"/>
        </w:rPr>
        <w:t xml:space="preserve">niche language, ensure that is </w:t>
      </w:r>
      <w:r w:rsidR="007A3962">
        <w:rPr>
          <w:b/>
          <w:bCs/>
          <w:sz w:val="24"/>
          <w:szCs w:val="24"/>
        </w:rPr>
        <w:t xml:space="preserve">noted </w:t>
      </w:r>
      <w:r w:rsidRPr="0041074F">
        <w:rPr>
          <w:b/>
          <w:bCs/>
          <w:sz w:val="24"/>
          <w:szCs w:val="24"/>
        </w:rPr>
        <w:t>at the time of booking.</w:t>
      </w:r>
      <w:r>
        <w:rPr>
          <w:sz w:val="24"/>
          <w:szCs w:val="24"/>
        </w:rPr>
        <w:t xml:space="preserve"> Some interpreters will be a better fit than others when </w:t>
      </w:r>
      <w:r w:rsidR="00D4677D">
        <w:rPr>
          <w:sz w:val="24"/>
          <w:szCs w:val="24"/>
        </w:rPr>
        <w:t>interpreting</w:t>
      </w:r>
      <w:r>
        <w:rPr>
          <w:sz w:val="24"/>
          <w:szCs w:val="24"/>
        </w:rPr>
        <w:t xml:space="preserve">, for example, at a software conference or Shakespearean play. Providing this information ahead of time ensures that the best person is matched with your event. </w:t>
      </w:r>
    </w:p>
    <w:p w14:paraId="3B4D172A" w14:textId="2D102B6E" w:rsidR="00B044BC" w:rsidRPr="00B044BC" w:rsidRDefault="00B044BC" w:rsidP="00B044B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When working with a sign language interpreter, make sure that you look at and address the person you are communicating with and not the interpreter</w:t>
      </w:r>
      <w:r w:rsidRPr="000455D0">
        <w:rPr>
          <w:sz w:val="24"/>
          <w:szCs w:val="24"/>
        </w:rPr>
        <w:t>.</w:t>
      </w:r>
      <w:r>
        <w:rPr>
          <w:sz w:val="24"/>
          <w:szCs w:val="24"/>
        </w:rPr>
        <w:t xml:space="preserve"> If you are having a conversation with a D/deaf person, then that is the person you need to face and make eye contact with. The interpreter is there as a resource to facilitate your conversation. </w:t>
      </w:r>
    </w:p>
    <w:p w14:paraId="05B26DDB" w14:textId="0DC20834" w:rsidR="00A95445" w:rsidRPr="00145A8F" w:rsidRDefault="00A95445" w:rsidP="00145A8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 intervenor is different from a</w:t>
      </w:r>
      <w:r w:rsidR="00136180">
        <w:rPr>
          <w:b/>
          <w:bCs/>
          <w:sz w:val="24"/>
          <w:szCs w:val="24"/>
        </w:rPr>
        <w:t xml:space="preserve"> sign language </w:t>
      </w:r>
      <w:r>
        <w:rPr>
          <w:b/>
          <w:bCs/>
          <w:sz w:val="24"/>
          <w:szCs w:val="24"/>
        </w:rPr>
        <w:t>interpreter.</w:t>
      </w:r>
      <w:r>
        <w:rPr>
          <w:sz w:val="24"/>
          <w:szCs w:val="24"/>
        </w:rPr>
        <w:t xml:space="preserve"> An intervenor is a trained professional who “facilitates the interaction of [a] person who is deafblind with other people and the environment”</w:t>
      </w:r>
      <w:r>
        <w:rPr>
          <w:rStyle w:val="FootnoteReference"/>
          <w:sz w:val="24"/>
          <w:szCs w:val="24"/>
        </w:rPr>
        <w:footnoteReference w:id="10"/>
      </w:r>
      <w:r>
        <w:rPr>
          <w:sz w:val="24"/>
          <w:szCs w:val="24"/>
        </w:rPr>
        <w:t>. They act as the “eyes and ears” of a deafblind person</w:t>
      </w:r>
      <w:r>
        <w:rPr>
          <w:rStyle w:val="FootnoteReference"/>
          <w:sz w:val="24"/>
          <w:szCs w:val="24"/>
        </w:rPr>
        <w:footnoteReference w:id="11"/>
      </w:r>
      <w:r>
        <w:rPr>
          <w:sz w:val="24"/>
          <w:szCs w:val="24"/>
        </w:rPr>
        <w:t xml:space="preserve">. </w:t>
      </w:r>
    </w:p>
    <w:sectPr w:rsidR="00A95445" w:rsidRPr="00145A8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CEE7D" w14:textId="77777777" w:rsidR="000455D0" w:rsidRDefault="000455D0" w:rsidP="000455D0">
      <w:pPr>
        <w:spacing w:after="0" w:line="240" w:lineRule="auto"/>
      </w:pPr>
      <w:r>
        <w:separator/>
      </w:r>
    </w:p>
  </w:endnote>
  <w:endnote w:type="continuationSeparator" w:id="0">
    <w:p w14:paraId="10838352" w14:textId="77777777" w:rsidR="000455D0" w:rsidRDefault="000455D0" w:rsidP="0004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9D476" w14:textId="77777777" w:rsidR="000455D0" w:rsidRDefault="000455D0" w:rsidP="000455D0">
      <w:pPr>
        <w:spacing w:after="0" w:line="240" w:lineRule="auto"/>
      </w:pPr>
      <w:r>
        <w:separator/>
      </w:r>
    </w:p>
  </w:footnote>
  <w:footnote w:type="continuationSeparator" w:id="0">
    <w:p w14:paraId="1BFFB9A3" w14:textId="77777777" w:rsidR="000455D0" w:rsidRDefault="000455D0" w:rsidP="000455D0">
      <w:pPr>
        <w:spacing w:after="0" w:line="240" w:lineRule="auto"/>
      </w:pPr>
      <w:r>
        <w:continuationSeparator/>
      </w:r>
    </w:p>
  </w:footnote>
  <w:footnote w:id="1">
    <w:p w14:paraId="6B0D11D7" w14:textId="5EC00645" w:rsidR="000455D0" w:rsidRDefault="000455D0">
      <w:pPr>
        <w:pStyle w:val="FootnoteText"/>
      </w:pPr>
      <w:r>
        <w:rPr>
          <w:rStyle w:val="FootnoteReference"/>
        </w:rPr>
        <w:footnoteRef/>
      </w:r>
      <w:r>
        <w:t xml:space="preserve"> Canadian Association of the Deaf, </w:t>
      </w:r>
      <w:hyperlink r:id="rId1" w:anchor=":~:text=In%20addition%2C%20children%20who%20are,are%20referred%20to%20%E2%80%9CDeaf%E2%80%9D." w:history="1">
        <w:r>
          <w:rPr>
            <w:rStyle w:val="Hyperlink"/>
          </w:rPr>
          <w:t xml:space="preserve">Terminology - Canadian Association of the Deaf - Association des </w:t>
        </w:r>
        <w:proofErr w:type="spellStart"/>
        <w:r>
          <w:rPr>
            <w:rStyle w:val="Hyperlink"/>
          </w:rPr>
          <w:t>Sourds</w:t>
        </w:r>
        <w:proofErr w:type="spellEnd"/>
        <w:r>
          <w:rPr>
            <w:rStyle w:val="Hyperlink"/>
          </w:rPr>
          <w:t xml:space="preserve"> du Canada (cad-asc.ca)</w:t>
        </w:r>
      </w:hyperlink>
      <w:r>
        <w:t>.</w:t>
      </w:r>
    </w:p>
  </w:footnote>
  <w:footnote w:id="2">
    <w:p w14:paraId="4355652D" w14:textId="78803C46" w:rsidR="000455D0" w:rsidRDefault="000455D0">
      <w:pPr>
        <w:pStyle w:val="FootnoteText"/>
      </w:pPr>
      <w:r>
        <w:rPr>
          <w:rStyle w:val="FootnoteReference"/>
        </w:rPr>
        <w:footnoteRef/>
      </w:r>
      <w:r>
        <w:t xml:space="preserve"> Ibid. </w:t>
      </w:r>
    </w:p>
  </w:footnote>
  <w:footnote w:id="3">
    <w:p w14:paraId="442A35C5" w14:textId="607C6EF0" w:rsidR="00892134" w:rsidRDefault="00892134">
      <w:pPr>
        <w:pStyle w:val="FootnoteText"/>
      </w:pPr>
      <w:r>
        <w:rPr>
          <w:rStyle w:val="FootnoteReference"/>
        </w:rPr>
        <w:footnoteRef/>
      </w:r>
      <w:r>
        <w:t xml:space="preserve"> The Council of Ontario Universities, Accessible Campus resource. </w:t>
      </w:r>
      <w:hyperlink r:id="rId2" w:history="1">
        <w:r>
          <w:rPr>
            <w:rStyle w:val="Hyperlink"/>
          </w:rPr>
          <w:t>Interacting with Persons who are Deaf, Deafened or Hard of Hearing - Accessible Campus</w:t>
        </w:r>
      </w:hyperlink>
    </w:p>
  </w:footnote>
  <w:footnote w:id="4">
    <w:p w14:paraId="538E26E6" w14:textId="77777777" w:rsidR="000E3F00" w:rsidRDefault="000E3F00" w:rsidP="000E3F00">
      <w:pPr>
        <w:pStyle w:val="FootnoteText"/>
      </w:pPr>
      <w:r>
        <w:rPr>
          <w:rStyle w:val="FootnoteReference"/>
        </w:rPr>
        <w:footnoteRef/>
      </w:r>
      <w:r>
        <w:t xml:space="preserve"> Ibid. </w:t>
      </w:r>
    </w:p>
  </w:footnote>
  <w:footnote w:id="5">
    <w:p w14:paraId="6BC23A96" w14:textId="2B6ECD4D" w:rsidR="00F06346" w:rsidRDefault="00F06346">
      <w:pPr>
        <w:pStyle w:val="FootnoteText"/>
      </w:pPr>
      <w:r>
        <w:rPr>
          <w:rStyle w:val="FootnoteReference"/>
        </w:rPr>
        <w:footnoteRef/>
      </w:r>
      <w:r>
        <w:t xml:space="preserve"> National Technical Institute for the Deaf, Center on Employment: </w:t>
      </w:r>
      <w:hyperlink r:id="rId3" w:history="1">
        <w:r>
          <w:rPr>
            <w:rStyle w:val="Hyperlink"/>
          </w:rPr>
          <w:t>P2128_NTID_Tips_for_Comm_with_Employees.pdf (rit.edu)</w:t>
        </w:r>
      </w:hyperlink>
    </w:p>
  </w:footnote>
  <w:footnote w:id="6">
    <w:p w14:paraId="790BDF8A" w14:textId="6939812A" w:rsidR="00BE1A99" w:rsidRDefault="00BE1A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6B94">
        <w:t xml:space="preserve">Ibid. </w:t>
      </w:r>
    </w:p>
  </w:footnote>
  <w:footnote w:id="7">
    <w:p w14:paraId="2DE0879F" w14:textId="6F570214" w:rsidR="008F185D" w:rsidRDefault="008F185D">
      <w:pPr>
        <w:pStyle w:val="FootnoteText"/>
      </w:pPr>
      <w:r>
        <w:rPr>
          <w:rStyle w:val="FootnoteReference"/>
        </w:rPr>
        <w:footnoteRef/>
      </w:r>
      <w:r>
        <w:t xml:space="preserve"> Journal of Deaf Studies and Deaf Education, </w:t>
      </w:r>
      <w:r w:rsidRPr="008F185D">
        <w:rPr>
          <w:i/>
          <w:iCs/>
        </w:rPr>
        <w:t>Ethnicity, Ethics and the Deaf World</w:t>
      </w:r>
      <w:r>
        <w:t xml:space="preserve">: </w:t>
      </w:r>
      <w:hyperlink r:id="rId4" w:history="1">
        <w:r>
          <w:rPr>
            <w:rStyle w:val="Hyperlink"/>
          </w:rPr>
          <w:t>Ethnicity, Ethics, and the Deaf-World | The Journal of Deaf Studies and Deaf Education | Oxford Academic (oup.com)</w:t>
        </w:r>
      </w:hyperlink>
    </w:p>
  </w:footnote>
  <w:footnote w:id="8">
    <w:p w14:paraId="2E726233" w14:textId="4EF31061" w:rsidR="004875FB" w:rsidRDefault="004875FB">
      <w:pPr>
        <w:pStyle w:val="FootnoteText"/>
      </w:pPr>
      <w:r>
        <w:rPr>
          <w:rStyle w:val="FootnoteReference"/>
        </w:rPr>
        <w:footnoteRef/>
      </w:r>
      <w:r>
        <w:t xml:space="preserve"> Ontario Council of Sign Language Interpreters. </w:t>
      </w:r>
    </w:p>
  </w:footnote>
  <w:footnote w:id="9">
    <w:p w14:paraId="7FDA5C8B" w14:textId="458B9ACC" w:rsidR="008803D4" w:rsidRDefault="008803D4">
      <w:pPr>
        <w:pStyle w:val="FootnoteText"/>
      </w:pPr>
      <w:r>
        <w:rPr>
          <w:rStyle w:val="FootnoteReference"/>
        </w:rPr>
        <w:footnoteRef/>
      </w:r>
      <w:r>
        <w:t xml:space="preserve"> For more information, visit the CASLI website: </w:t>
      </w:r>
      <w:hyperlink r:id="rId5" w:history="1">
        <w:r>
          <w:rPr>
            <w:rStyle w:val="Hyperlink"/>
          </w:rPr>
          <w:t>CASLI - Why Hire a CASLI Member</w:t>
        </w:r>
      </w:hyperlink>
    </w:p>
  </w:footnote>
  <w:footnote w:id="10">
    <w:p w14:paraId="5A24C4B0" w14:textId="10324325" w:rsidR="00A95445" w:rsidRDefault="00A95445">
      <w:pPr>
        <w:pStyle w:val="FootnoteText"/>
      </w:pPr>
      <w:r>
        <w:rPr>
          <w:rStyle w:val="FootnoteReference"/>
        </w:rPr>
        <w:footnoteRef/>
      </w:r>
      <w:r>
        <w:t xml:space="preserve"> Deafblind Network of Ontario, </w:t>
      </w:r>
      <w:hyperlink r:id="rId6" w:history="1">
        <w:r>
          <w:rPr>
            <w:rStyle w:val="Hyperlink"/>
          </w:rPr>
          <w:t>What is an Intervenor (deafblindnetworkontario.com)</w:t>
        </w:r>
      </w:hyperlink>
    </w:p>
  </w:footnote>
  <w:footnote w:id="11">
    <w:p w14:paraId="6155884F" w14:textId="4C111559" w:rsidR="00A95445" w:rsidRDefault="00A95445">
      <w:pPr>
        <w:pStyle w:val="FootnoteText"/>
      </w:pPr>
      <w:r>
        <w:rPr>
          <w:rStyle w:val="FootnoteReference"/>
        </w:rPr>
        <w:footnoteRef/>
      </w:r>
      <w:r>
        <w:t xml:space="preserve"> Ibid.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BA6C1" w14:textId="070B8177" w:rsidR="00D30E38" w:rsidRDefault="00D30E38" w:rsidP="00D30E38">
    <w:pPr>
      <w:pStyle w:val="Header"/>
      <w:jc w:val="center"/>
    </w:pPr>
    <w:r>
      <w:rPr>
        <w:noProof/>
      </w:rPr>
      <w:drawing>
        <wp:inline distT="0" distB="0" distL="0" distR="0" wp14:anchorId="4D92B2E9" wp14:editId="7DFA7256">
          <wp:extent cx="1706880" cy="1430396"/>
          <wp:effectExtent l="0" t="0" r="7620" b="0"/>
          <wp:docPr id="20232536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253636" name="Picture 20232536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272" cy="1436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727391" wp14:editId="1704F841">
          <wp:extent cx="3497580" cy="1176604"/>
          <wp:effectExtent l="0" t="0" r="0" b="0"/>
          <wp:docPr id="14122145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14522" name="Picture 14122145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29" cy="117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B400F"/>
    <w:multiLevelType w:val="hybridMultilevel"/>
    <w:tmpl w:val="8E526F6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8611C9"/>
    <w:multiLevelType w:val="hybridMultilevel"/>
    <w:tmpl w:val="DA20A8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544E2"/>
    <w:multiLevelType w:val="hybridMultilevel"/>
    <w:tmpl w:val="B7304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E58B2"/>
    <w:multiLevelType w:val="hybridMultilevel"/>
    <w:tmpl w:val="D5F017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523395">
    <w:abstractNumId w:val="1"/>
  </w:num>
  <w:num w:numId="2" w16cid:durableId="1529682623">
    <w:abstractNumId w:val="0"/>
  </w:num>
  <w:num w:numId="3" w16cid:durableId="242107478">
    <w:abstractNumId w:val="2"/>
  </w:num>
  <w:num w:numId="4" w16cid:durableId="803546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94"/>
    <w:rsid w:val="000455D0"/>
    <w:rsid w:val="00072D9E"/>
    <w:rsid w:val="00077DC5"/>
    <w:rsid w:val="000B24C3"/>
    <w:rsid w:val="000E20AB"/>
    <w:rsid w:val="000E3F00"/>
    <w:rsid w:val="00134DA7"/>
    <w:rsid w:val="00136180"/>
    <w:rsid w:val="00145A8F"/>
    <w:rsid w:val="00176D53"/>
    <w:rsid w:val="00181B73"/>
    <w:rsid w:val="001B663C"/>
    <w:rsid w:val="001C6F14"/>
    <w:rsid w:val="00285694"/>
    <w:rsid w:val="00286EDA"/>
    <w:rsid w:val="002C01DA"/>
    <w:rsid w:val="0030218C"/>
    <w:rsid w:val="0030461E"/>
    <w:rsid w:val="003C1B18"/>
    <w:rsid w:val="003D5D67"/>
    <w:rsid w:val="0041074F"/>
    <w:rsid w:val="00416CE4"/>
    <w:rsid w:val="00422D22"/>
    <w:rsid w:val="004518F9"/>
    <w:rsid w:val="004875FB"/>
    <w:rsid w:val="00493FB5"/>
    <w:rsid w:val="00494C02"/>
    <w:rsid w:val="004B425B"/>
    <w:rsid w:val="0053255B"/>
    <w:rsid w:val="005950ED"/>
    <w:rsid w:val="005B430E"/>
    <w:rsid w:val="005B4C29"/>
    <w:rsid w:val="005F7685"/>
    <w:rsid w:val="00606F11"/>
    <w:rsid w:val="00647B97"/>
    <w:rsid w:val="006552C2"/>
    <w:rsid w:val="00740DA7"/>
    <w:rsid w:val="007A3962"/>
    <w:rsid w:val="008578CE"/>
    <w:rsid w:val="0087165F"/>
    <w:rsid w:val="008803D4"/>
    <w:rsid w:val="00892134"/>
    <w:rsid w:val="008F185D"/>
    <w:rsid w:val="00940163"/>
    <w:rsid w:val="00985C74"/>
    <w:rsid w:val="009D1B28"/>
    <w:rsid w:val="009D4A4B"/>
    <w:rsid w:val="009E657A"/>
    <w:rsid w:val="009E6C28"/>
    <w:rsid w:val="009F138B"/>
    <w:rsid w:val="00A176D6"/>
    <w:rsid w:val="00A478BE"/>
    <w:rsid w:val="00A77096"/>
    <w:rsid w:val="00A95445"/>
    <w:rsid w:val="00B044BC"/>
    <w:rsid w:val="00B31888"/>
    <w:rsid w:val="00BE1A99"/>
    <w:rsid w:val="00C62694"/>
    <w:rsid w:val="00CD2572"/>
    <w:rsid w:val="00D30E38"/>
    <w:rsid w:val="00D4677D"/>
    <w:rsid w:val="00D81980"/>
    <w:rsid w:val="00DC3B92"/>
    <w:rsid w:val="00E53740"/>
    <w:rsid w:val="00EC6B94"/>
    <w:rsid w:val="00F06346"/>
    <w:rsid w:val="00F10A80"/>
    <w:rsid w:val="00F7695F"/>
    <w:rsid w:val="00F9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06898"/>
  <w15:chartTrackingRefBased/>
  <w15:docId w15:val="{682C2ADD-D534-434C-B56D-D68EF203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1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5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55D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455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38"/>
  </w:style>
  <w:style w:type="paragraph" w:styleId="Footer">
    <w:name w:val="footer"/>
    <w:basedOn w:val="Normal"/>
    <w:link w:val="FooterChar"/>
    <w:uiPriority w:val="99"/>
    <w:unhideWhenUsed/>
    <w:rsid w:val="00D30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t.edu/ntid/sites/rit.edu.ntid/files/nce/employers/P2128_NTID_Tips_for_Comm_with_Employees.pdf" TargetMode="External"/><Relationship Id="rId2" Type="http://schemas.openxmlformats.org/officeDocument/2006/relationships/hyperlink" Target="https://accessiblecampus.ca/reference-library/interacting-persons-disabilities/deaf-deafened-or-hard-of-hearing/" TargetMode="External"/><Relationship Id="rId1" Type="http://schemas.openxmlformats.org/officeDocument/2006/relationships/hyperlink" Target="https://cad-asc.ca/our-work/terminology/" TargetMode="External"/><Relationship Id="rId6" Type="http://schemas.openxmlformats.org/officeDocument/2006/relationships/hyperlink" Target="https://www.deafblindnetworkontario.com/become-an-intervenor/what-is-an-intervenor/" TargetMode="External"/><Relationship Id="rId5" Type="http://schemas.openxmlformats.org/officeDocument/2006/relationships/hyperlink" Target="https://www.casli.ca/Why-Hire-a-CASLI-Member" TargetMode="External"/><Relationship Id="rId4" Type="http://schemas.openxmlformats.org/officeDocument/2006/relationships/hyperlink" Target="https://academic.oup.com/jdsde/article/10/3/291/41338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2F15-6DDE-4039-9C12-81AD335E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Parker</dc:creator>
  <cp:keywords/>
  <dc:description/>
  <cp:lastModifiedBy>Amber Parker</cp:lastModifiedBy>
  <cp:revision>44</cp:revision>
  <dcterms:created xsi:type="dcterms:W3CDTF">2024-05-17T16:40:00Z</dcterms:created>
  <dcterms:modified xsi:type="dcterms:W3CDTF">2024-07-15T13:30:00Z</dcterms:modified>
</cp:coreProperties>
</file>