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19909" w14:textId="440DB8BE" w:rsidR="00494A30" w:rsidRDefault="00A05954" w:rsidP="00711000">
      <w:pPr>
        <w:pStyle w:val="Heading1"/>
        <w:jc w:val="center"/>
        <w:rPr>
          <w:lang w:val="fr-FR"/>
        </w:rPr>
      </w:pPr>
      <w:r>
        <w:rPr>
          <w:lang w:val="fr-FR"/>
        </w:rPr>
        <w:t>Conseils</w:t>
      </w:r>
      <w:r w:rsidR="00A26BD2">
        <w:rPr>
          <w:lang w:val="fr-FR"/>
        </w:rPr>
        <w:t xml:space="preserve"> pour </w:t>
      </w:r>
      <w:r w:rsidR="0094510C">
        <w:rPr>
          <w:lang w:val="fr-FR"/>
        </w:rPr>
        <w:t>élaborer</w:t>
      </w:r>
      <w:r w:rsidR="007A2F3F">
        <w:rPr>
          <w:lang w:val="fr-FR"/>
        </w:rPr>
        <w:t xml:space="preserve"> des stratégies </w:t>
      </w:r>
      <w:r w:rsidR="00286B30">
        <w:rPr>
          <w:lang w:val="fr-FR"/>
        </w:rPr>
        <w:t>de mobilisation</w:t>
      </w:r>
      <w:r w:rsidR="007A2F3F">
        <w:rPr>
          <w:lang w:val="fr-FR"/>
        </w:rPr>
        <w:t xml:space="preserve"> </w:t>
      </w:r>
      <w:r w:rsidR="00D37AC7">
        <w:rPr>
          <w:lang w:val="fr-FR"/>
        </w:rPr>
        <w:t xml:space="preserve">des </w:t>
      </w:r>
      <w:r w:rsidR="00931F89">
        <w:rPr>
          <w:lang w:val="fr-FR"/>
        </w:rPr>
        <w:t>a</w:t>
      </w:r>
      <w:r w:rsidR="0042442C">
        <w:rPr>
          <w:lang w:val="fr-FR"/>
        </w:rPr>
        <w:t>utochtones</w:t>
      </w:r>
      <w:r w:rsidR="00834A04">
        <w:rPr>
          <w:lang w:val="fr-FR"/>
        </w:rPr>
        <w:t xml:space="preserve"> et pour travailler avec les </w:t>
      </w:r>
      <w:r w:rsidR="007E046F">
        <w:rPr>
          <w:lang w:val="fr-FR"/>
        </w:rPr>
        <w:t>s</w:t>
      </w:r>
      <w:r w:rsidR="00834A04">
        <w:rPr>
          <w:lang w:val="fr-FR"/>
        </w:rPr>
        <w:t>urvivants</w:t>
      </w:r>
    </w:p>
    <w:p w14:paraId="606B7D0B" w14:textId="77777777" w:rsidR="0094510C" w:rsidRDefault="0094510C">
      <w:pPr>
        <w:rPr>
          <w:lang w:val="fr-FR"/>
        </w:rPr>
      </w:pPr>
    </w:p>
    <w:p w14:paraId="17280588" w14:textId="352DB93F" w:rsidR="0094510C" w:rsidRPr="00980410" w:rsidRDefault="00980410">
      <w:pPr>
        <w:rPr>
          <w:i/>
          <w:iCs/>
          <w:lang w:val="fr-FR"/>
        </w:rPr>
      </w:pPr>
      <w:r>
        <w:rPr>
          <w:i/>
          <w:iCs/>
          <w:lang w:val="fr-FR"/>
        </w:rPr>
        <w:t>Elaborer</w:t>
      </w:r>
      <w:r w:rsidR="0094510C" w:rsidRPr="00980410">
        <w:rPr>
          <w:i/>
          <w:iCs/>
          <w:lang w:val="fr-FR"/>
        </w:rPr>
        <w:t xml:space="preserve"> une stratégie </w:t>
      </w:r>
      <w:r w:rsidR="00286B30" w:rsidRPr="00980410">
        <w:rPr>
          <w:i/>
          <w:iCs/>
          <w:lang w:val="fr-FR"/>
        </w:rPr>
        <w:t xml:space="preserve">de </w:t>
      </w:r>
      <w:r w:rsidR="007F7456" w:rsidRPr="00980410">
        <w:rPr>
          <w:i/>
          <w:iCs/>
          <w:lang w:val="fr-FR"/>
        </w:rPr>
        <w:t xml:space="preserve">sensibilisation et de </w:t>
      </w:r>
      <w:r w:rsidR="00286B30" w:rsidRPr="00980410">
        <w:rPr>
          <w:i/>
          <w:iCs/>
          <w:lang w:val="fr-FR"/>
        </w:rPr>
        <w:t>mobilisation</w:t>
      </w:r>
      <w:r w:rsidR="0094510C" w:rsidRPr="00980410">
        <w:rPr>
          <w:i/>
          <w:iCs/>
          <w:lang w:val="fr-FR"/>
        </w:rPr>
        <w:t xml:space="preserve"> </w:t>
      </w:r>
      <w:r w:rsidR="0042442C" w:rsidRPr="00980410">
        <w:rPr>
          <w:i/>
          <w:iCs/>
          <w:lang w:val="fr-FR"/>
        </w:rPr>
        <w:t xml:space="preserve">des </w:t>
      </w:r>
      <w:r w:rsidR="00491616">
        <w:rPr>
          <w:i/>
          <w:iCs/>
          <w:lang w:val="fr-FR"/>
        </w:rPr>
        <w:t>a</w:t>
      </w:r>
      <w:r w:rsidR="0042442C" w:rsidRPr="00980410">
        <w:rPr>
          <w:i/>
          <w:iCs/>
          <w:lang w:val="fr-FR"/>
        </w:rPr>
        <w:t>utochtones</w:t>
      </w:r>
    </w:p>
    <w:p w14:paraId="6C57849D" w14:textId="642101D3" w:rsidR="0094510C" w:rsidRDefault="000B221E">
      <w:pPr>
        <w:rPr>
          <w:lang w:val="fr-FR"/>
        </w:rPr>
      </w:pPr>
      <w:r>
        <w:rPr>
          <w:lang w:val="fr-FR"/>
        </w:rPr>
        <w:t>Beaucoup d’</w:t>
      </w:r>
      <w:r w:rsidR="005F6F58">
        <w:rPr>
          <w:lang w:val="fr-FR"/>
        </w:rPr>
        <w:t xml:space="preserve">organismes </w:t>
      </w:r>
      <w:r w:rsidR="00F21913">
        <w:rPr>
          <w:lang w:val="fr-FR"/>
        </w:rPr>
        <w:t>d’aide</w:t>
      </w:r>
      <w:r w:rsidR="005F6F58">
        <w:rPr>
          <w:lang w:val="fr-FR"/>
        </w:rPr>
        <w:t xml:space="preserve"> aux nouveaux arrivants travaillent avec les populations </w:t>
      </w:r>
      <w:r w:rsidR="00F21913">
        <w:rPr>
          <w:lang w:val="fr-FR"/>
        </w:rPr>
        <w:t>autochtones</w:t>
      </w:r>
      <w:r w:rsidR="005F6F58">
        <w:rPr>
          <w:lang w:val="fr-FR"/>
        </w:rPr>
        <w:t xml:space="preserve"> afin </w:t>
      </w:r>
      <w:r w:rsidR="004C5D73">
        <w:rPr>
          <w:lang w:val="fr-FR"/>
        </w:rPr>
        <w:t xml:space="preserve">de </w:t>
      </w:r>
      <w:r w:rsidR="008B7A16">
        <w:rPr>
          <w:lang w:val="fr-FR"/>
        </w:rPr>
        <w:t xml:space="preserve">promouvoir la </w:t>
      </w:r>
      <w:r w:rsidR="00BB1DAD">
        <w:rPr>
          <w:lang w:val="fr-FR"/>
        </w:rPr>
        <w:t>v</w:t>
      </w:r>
      <w:r w:rsidR="008B7A16">
        <w:rPr>
          <w:lang w:val="fr-FR"/>
        </w:rPr>
        <w:t xml:space="preserve">érité et la </w:t>
      </w:r>
      <w:r w:rsidR="00BB1DAD">
        <w:rPr>
          <w:lang w:val="fr-FR"/>
        </w:rPr>
        <w:t>r</w:t>
      </w:r>
      <w:r w:rsidR="008B7A16">
        <w:rPr>
          <w:lang w:val="fr-FR"/>
        </w:rPr>
        <w:t xml:space="preserve">éconciliation et </w:t>
      </w:r>
      <w:r w:rsidR="000D3898">
        <w:rPr>
          <w:lang w:val="fr-FR"/>
        </w:rPr>
        <w:t>d</w:t>
      </w:r>
      <w:r w:rsidR="00491616">
        <w:rPr>
          <w:lang w:val="fr-FR"/>
        </w:rPr>
        <w:t>’</w:t>
      </w:r>
      <w:r w:rsidR="000D3898">
        <w:rPr>
          <w:lang w:val="fr-FR"/>
        </w:rPr>
        <w:t>éduquer</w:t>
      </w:r>
      <w:r w:rsidR="00FB6634">
        <w:rPr>
          <w:lang w:val="fr-FR"/>
        </w:rPr>
        <w:t xml:space="preserve"> le</w:t>
      </w:r>
      <w:r w:rsidR="008B7A16">
        <w:rPr>
          <w:lang w:val="fr-FR"/>
        </w:rPr>
        <w:t xml:space="preserve"> personnel et </w:t>
      </w:r>
      <w:r w:rsidR="00FB6634">
        <w:rPr>
          <w:lang w:val="fr-FR"/>
        </w:rPr>
        <w:t>les</w:t>
      </w:r>
      <w:r w:rsidR="008B7A16">
        <w:rPr>
          <w:lang w:val="fr-FR"/>
        </w:rPr>
        <w:t xml:space="preserve"> </w:t>
      </w:r>
      <w:r w:rsidR="006D4DD3">
        <w:rPr>
          <w:lang w:val="fr-FR"/>
        </w:rPr>
        <w:t>clients aux</w:t>
      </w:r>
      <w:r w:rsidR="00FB6634">
        <w:rPr>
          <w:lang w:val="fr-FR"/>
        </w:rPr>
        <w:t xml:space="preserve"> cultures autochtones ainsi </w:t>
      </w:r>
      <w:r w:rsidR="00B82A31">
        <w:rPr>
          <w:lang w:val="fr-FR"/>
        </w:rPr>
        <w:t>qu’à</w:t>
      </w:r>
      <w:r w:rsidR="00AD7243">
        <w:rPr>
          <w:lang w:val="fr-FR"/>
        </w:rPr>
        <w:t xml:space="preserve"> l’héritage colonial au Canada.</w:t>
      </w:r>
    </w:p>
    <w:p w14:paraId="63319897" w14:textId="1356ED7A" w:rsidR="00AD7243" w:rsidRDefault="00D02021">
      <w:pPr>
        <w:rPr>
          <w:lang w:val="fr-FR"/>
        </w:rPr>
      </w:pPr>
      <w:r>
        <w:rPr>
          <w:lang w:val="fr-FR"/>
        </w:rPr>
        <w:t xml:space="preserve">Une stratégie </w:t>
      </w:r>
      <w:r w:rsidR="003354DA">
        <w:rPr>
          <w:lang w:val="fr-FR"/>
        </w:rPr>
        <w:t xml:space="preserve">de </w:t>
      </w:r>
      <w:r w:rsidR="00223ABB">
        <w:rPr>
          <w:lang w:val="fr-FR"/>
        </w:rPr>
        <w:t xml:space="preserve">sensibilisation et de </w:t>
      </w:r>
      <w:r w:rsidR="003354DA">
        <w:rPr>
          <w:lang w:val="fr-FR"/>
        </w:rPr>
        <w:t>mobilisation</w:t>
      </w:r>
      <w:r>
        <w:rPr>
          <w:lang w:val="fr-FR"/>
        </w:rPr>
        <w:t xml:space="preserve"> </w:t>
      </w:r>
      <w:r w:rsidR="001D4993">
        <w:rPr>
          <w:lang w:val="fr-FR"/>
        </w:rPr>
        <w:t>des</w:t>
      </w:r>
      <w:r>
        <w:rPr>
          <w:lang w:val="fr-FR"/>
        </w:rPr>
        <w:t xml:space="preserve"> </w:t>
      </w:r>
      <w:r w:rsidRPr="00833C1B">
        <w:rPr>
          <w:lang w:val="fr-FR"/>
        </w:rPr>
        <w:t>autochtones</w:t>
      </w:r>
      <w:r w:rsidR="00D7444E" w:rsidRPr="00833C1B">
        <w:rPr>
          <w:lang w:val="fr-FR"/>
        </w:rPr>
        <w:t xml:space="preserve"> </w:t>
      </w:r>
      <w:r w:rsidR="00573A7F" w:rsidRPr="00833C1B">
        <w:rPr>
          <w:lang w:val="fr-FR"/>
        </w:rPr>
        <w:t>élaborée en collaboration</w:t>
      </w:r>
      <w:r w:rsidR="00D7444E" w:rsidRPr="00833C1B">
        <w:rPr>
          <w:lang w:val="fr-FR"/>
        </w:rPr>
        <w:t xml:space="preserve"> avec des populations autochtones peut </w:t>
      </w:r>
      <w:r w:rsidR="0069368C" w:rsidRPr="00833C1B">
        <w:rPr>
          <w:lang w:val="fr-FR"/>
        </w:rPr>
        <w:t xml:space="preserve">contribuer </w:t>
      </w:r>
      <w:r w:rsidR="009311DC" w:rsidRPr="00833C1B">
        <w:rPr>
          <w:lang w:val="fr-FR"/>
        </w:rPr>
        <w:t xml:space="preserve">à </w:t>
      </w:r>
      <w:r w:rsidR="0069368C" w:rsidRPr="00833C1B">
        <w:rPr>
          <w:lang w:val="fr-FR"/>
        </w:rPr>
        <w:t>structurer</w:t>
      </w:r>
      <w:r w:rsidR="009311DC" w:rsidRPr="00833C1B">
        <w:rPr>
          <w:lang w:val="fr-FR"/>
        </w:rPr>
        <w:t xml:space="preserve"> votre travail et </w:t>
      </w:r>
      <w:r w:rsidR="00FA5B20" w:rsidRPr="00833C1B">
        <w:rPr>
          <w:lang w:val="fr-FR"/>
        </w:rPr>
        <w:t xml:space="preserve">à </w:t>
      </w:r>
      <w:r w:rsidR="00B700EB" w:rsidRPr="00833C1B">
        <w:rPr>
          <w:lang w:val="fr-FR"/>
        </w:rPr>
        <w:t>garantir</w:t>
      </w:r>
      <w:r w:rsidR="009311DC" w:rsidRPr="00833C1B">
        <w:rPr>
          <w:lang w:val="fr-FR"/>
        </w:rPr>
        <w:t xml:space="preserve"> une vision et des objectifs communs. </w:t>
      </w:r>
      <w:r w:rsidR="00CB390B" w:rsidRPr="00833C1B">
        <w:rPr>
          <w:lang w:val="fr-FR"/>
        </w:rPr>
        <w:t>La première</w:t>
      </w:r>
      <w:r w:rsidR="00CB390B">
        <w:rPr>
          <w:lang w:val="fr-FR"/>
        </w:rPr>
        <w:t xml:space="preserve"> </w:t>
      </w:r>
      <w:r w:rsidR="007B1F2F">
        <w:rPr>
          <w:lang w:val="fr-FR"/>
        </w:rPr>
        <w:t xml:space="preserve">et </w:t>
      </w:r>
      <w:r w:rsidR="00E30C5D">
        <w:rPr>
          <w:lang w:val="fr-FR"/>
        </w:rPr>
        <w:t xml:space="preserve">importante </w:t>
      </w:r>
      <w:r w:rsidR="00CB390B">
        <w:rPr>
          <w:lang w:val="fr-FR"/>
        </w:rPr>
        <w:t>étape</w:t>
      </w:r>
      <w:r w:rsidR="009918B3">
        <w:rPr>
          <w:lang w:val="fr-FR"/>
        </w:rPr>
        <w:t xml:space="preserve"> </w:t>
      </w:r>
      <w:r w:rsidR="00FA5B20">
        <w:rPr>
          <w:lang w:val="fr-FR"/>
        </w:rPr>
        <w:t>serait</w:t>
      </w:r>
      <w:r w:rsidR="009918B3">
        <w:rPr>
          <w:lang w:val="fr-FR"/>
        </w:rPr>
        <w:t xml:space="preserve"> de </w:t>
      </w:r>
      <w:r w:rsidR="00DE3107">
        <w:rPr>
          <w:lang w:val="fr-FR"/>
        </w:rPr>
        <w:t>re</w:t>
      </w:r>
      <w:r w:rsidR="009918B3">
        <w:rPr>
          <w:lang w:val="fr-FR"/>
        </w:rPr>
        <w:t>chercher les populations autochtones</w:t>
      </w:r>
      <w:r w:rsidR="00E10B6F">
        <w:rPr>
          <w:lang w:val="fr-FR"/>
        </w:rPr>
        <w:t xml:space="preserve"> dont les terres traditionnelles font partie ou sont </w:t>
      </w:r>
      <w:r w:rsidR="00FA5B20">
        <w:rPr>
          <w:lang w:val="fr-FR"/>
        </w:rPr>
        <w:t>à proximité</w:t>
      </w:r>
      <w:r w:rsidR="00E10B6F">
        <w:rPr>
          <w:lang w:val="fr-FR"/>
        </w:rPr>
        <w:t xml:space="preserve"> de votre</w:t>
      </w:r>
      <w:r w:rsidR="005D5520">
        <w:rPr>
          <w:lang w:val="fr-FR"/>
        </w:rPr>
        <w:t xml:space="preserve"> secteur local.</w:t>
      </w:r>
      <w:r w:rsidR="002A4FDB">
        <w:rPr>
          <w:lang w:val="fr-FR"/>
        </w:rPr>
        <w:t xml:space="preserve"> Vous pouvez faire ceci en explorant</w:t>
      </w:r>
      <w:r w:rsidR="002E693E">
        <w:rPr>
          <w:lang w:val="fr-FR"/>
        </w:rPr>
        <w:t xml:space="preserve"> votre région sur</w:t>
      </w:r>
      <w:r w:rsidR="0044043E">
        <w:rPr>
          <w:lang w:val="fr-FR"/>
        </w:rPr>
        <w:t xml:space="preserve"> la c</w:t>
      </w:r>
      <w:r w:rsidR="002A4FDB">
        <w:rPr>
          <w:lang w:val="fr-FR"/>
        </w:rPr>
        <w:t xml:space="preserve">arte </w:t>
      </w:r>
      <w:r w:rsidR="00804C34">
        <w:rPr>
          <w:lang w:val="fr-FR"/>
        </w:rPr>
        <w:t>à</w:t>
      </w:r>
      <w:r w:rsidR="0044043E">
        <w:rPr>
          <w:lang w:val="fr-FR"/>
        </w:rPr>
        <w:t xml:space="preserve"> l’adresse suivante </w:t>
      </w:r>
      <w:hyperlink r:id="rId7" w:history="1">
        <w:r w:rsidR="002A4FDB" w:rsidRPr="00BD5519">
          <w:rPr>
            <w:rStyle w:val="Hyperlink"/>
            <w:lang w:val="fr-FR"/>
          </w:rPr>
          <w:t>www.native-land.ca</w:t>
        </w:r>
      </w:hyperlink>
      <w:r w:rsidR="002A4FDB">
        <w:rPr>
          <w:lang w:val="fr-FR"/>
        </w:rPr>
        <w:t>.</w:t>
      </w:r>
    </w:p>
    <w:p w14:paraId="729D832B" w14:textId="57C53657" w:rsidR="002A4FDB" w:rsidRDefault="005870B8">
      <w:pPr>
        <w:rPr>
          <w:lang w:val="fr-FR"/>
        </w:rPr>
      </w:pPr>
      <w:r>
        <w:rPr>
          <w:lang w:val="fr-FR"/>
        </w:rPr>
        <w:t xml:space="preserve">Avoir une stratégie </w:t>
      </w:r>
      <w:r w:rsidR="00BF5E0B">
        <w:rPr>
          <w:lang w:val="fr-FR"/>
        </w:rPr>
        <w:t xml:space="preserve">peut vous aider à planifier clairement </w:t>
      </w:r>
      <w:r w:rsidR="00742020">
        <w:rPr>
          <w:lang w:val="fr-FR"/>
        </w:rPr>
        <w:t>la manière dont</w:t>
      </w:r>
      <w:r w:rsidR="00B8511B">
        <w:rPr>
          <w:lang w:val="fr-FR"/>
        </w:rPr>
        <w:t xml:space="preserve"> </w:t>
      </w:r>
      <w:r w:rsidR="00BF5E0B">
        <w:rPr>
          <w:lang w:val="fr-FR"/>
        </w:rPr>
        <w:t xml:space="preserve">vos objectifs et buts </w:t>
      </w:r>
      <w:r w:rsidR="00EA6FE1">
        <w:rPr>
          <w:lang w:val="fr-FR"/>
        </w:rPr>
        <w:t>en matière de</w:t>
      </w:r>
      <w:r w:rsidR="001040EB">
        <w:rPr>
          <w:lang w:val="fr-FR"/>
        </w:rPr>
        <w:t xml:space="preserve"> mobilisation</w:t>
      </w:r>
      <w:r w:rsidR="00BF5E0B">
        <w:rPr>
          <w:lang w:val="fr-FR"/>
        </w:rPr>
        <w:t xml:space="preserve"> des autochtones</w:t>
      </w:r>
      <w:r w:rsidR="00181410">
        <w:rPr>
          <w:lang w:val="fr-FR"/>
        </w:rPr>
        <w:t xml:space="preserve"> </w:t>
      </w:r>
      <w:r w:rsidR="00752E56">
        <w:rPr>
          <w:lang w:val="fr-FR"/>
        </w:rPr>
        <w:t>sont</w:t>
      </w:r>
      <w:r w:rsidR="00181410">
        <w:rPr>
          <w:lang w:val="fr-FR"/>
        </w:rPr>
        <w:t xml:space="preserve"> </w:t>
      </w:r>
      <w:r w:rsidR="00752E56">
        <w:rPr>
          <w:lang w:val="fr-FR"/>
        </w:rPr>
        <w:t>liés</w:t>
      </w:r>
      <w:r w:rsidR="00181410">
        <w:rPr>
          <w:lang w:val="fr-FR"/>
        </w:rPr>
        <w:t xml:space="preserve"> à d’autres documents internes tel que votre plan stratégique</w:t>
      </w:r>
      <w:r w:rsidR="008B0C0E">
        <w:rPr>
          <w:lang w:val="fr-FR"/>
        </w:rPr>
        <w:t xml:space="preserve"> et vos termes de référence</w:t>
      </w:r>
      <w:r w:rsidR="00CB7BC3">
        <w:rPr>
          <w:lang w:val="fr-FR"/>
        </w:rPr>
        <w:t xml:space="preserve"> pour les groupes de travail.</w:t>
      </w:r>
      <w:r w:rsidR="005E27BD">
        <w:rPr>
          <w:lang w:val="fr-FR"/>
        </w:rPr>
        <w:t xml:space="preserve"> La meilleure pratique </w:t>
      </w:r>
      <w:r w:rsidR="000D235C">
        <w:rPr>
          <w:lang w:val="fr-FR"/>
        </w:rPr>
        <w:t>serait d</w:t>
      </w:r>
      <w:r w:rsidR="00854DF2">
        <w:rPr>
          <w:lang w:val="fr-FR"/>
        </w:rPr>
        <w:t xml:space="preserve">’élaborer </w:t>
      </w:r>
      <w:r w:rsidR="00423EB0">
        <w:rPr>
          <w:lang w:val="fr-FR"/>
        </w:rPr>
        <w:t>votre</w:t>
      </w:r>
      <w:r w:rsidR="005E27BD">
        <w:rPr>
          <w:lang w:val="fr-FR"/>
        </w:rPr>
        <w:t xml:space="preserve"> stratégie </w:t>
      </w:r>
      <w:r w:rsidR="00423EB0">
        <w:rPr>
          <w:lang w:val="fr-FR"/>
        </w:rPr>
        <w:t>de mobilisation</w:t>
      </w:r>
      <w:r w:rsidR="005E27BD">
        <w:rPr>
          <w:lang w:val="fr-FR"/>
        </w:rPr>
        <w:t xml:space="preserve"> </w:t>
      </w:r>
      <w:r w:rsidR="00B67514">
        <w:rPr>
          <w:lang w:val="fr-FR"/>
        </w:rPr>
        <w:t>et</w:t>
      </w:r>
      <w:r w:rsidR="000D0549">
        <w:rPr>
          <w:lang w:val="fr-FR"/>
        </w:rPr>
        <w:t>/ou</w:t>
      </w:r>
      <w:r w:rsidR="00B67514">
        <w:rPr>
          <w:lang w:val="fr-FR"/>
        </w:rPr>
        <w:t xml:space="preserve"> de sensibilisation </w:t>
      </w:r>
      <w:r w:rsidR="00FC57C9">
        <w:rPr>
          <w:lang w:val="fr-FR"/>
        </w:rPr>
        <w:t>des</w:t>
      </w:r>
      <w:r w:rsidR="005E27BD">
        <w:rPr>
          <w:lang w:val="fr-FR"/>
        </w:rPr>
        <w:t xml:space="preserve"> autochtones </w:t>
      </w:r>
      <w:r w:rsidR="00093D75">
        <w:rPr>
          <w:lang w:val="fr-FR"/>
        </w:rPr>
        <w:t xml:space="preserve">(ainsi que </w:t>
      </w:r>
      <w:r w:rsidR="00AB00CE">
        <w:rPr>
          <w:lang w:val="fr-FR"/>
        </w:rPr>
        <w:t>ses éléments constitutifs</w:t>
      </w:r>
      <w:r w:rsidR="00C031F2">
        <w:rPr>
          <w:lang w:val="fr-FR"/>
        </w:rPr>
        <w:t xml:space="preserve"> tel qu</w:t>
      </w:r>
      <w:r w:rsidR="00854DF2">
        <w:rPr>
          <w:lang w:val="fr-FR"/>
        </w:rPr>
        <w:t xml:space="preserve">e la </w:t>
      </w:r>
      <w:r w:rsidR="00C031F2">
        <w:rPr>
          <w:lang w:val="fr-FR"/>
        </w:rPr>
        <w:t>reconnaissance de territoire</w:t>
      </w:r>
      <w:r w:rsidR="00854DF2">
        <w:rPr>
          <w:lang w:val="fr-FR"/>
        </w:rPr>
        <w:t>s</w:t>
      </w:r>
      <w:r w:rsidR="00C031F2">
        <w:rPr>
          <w:lang w:val="fr-FR"/>
        </w:rPr>
        <w:t>) en</w:t>
      </w:r>
      <w:r w:rsidR="007E76FD">
        <w:rPr>
          <w:lang w:val="fr-FR"/>
        </w:rPr>
        <w:t xml:space="preserve"> </w:t>
      </w:r>
      <w:r w:rsidR="00C031F2">
        <w:rPr>
          <w:lang w:val="fr-FR"/>
        </w:rPr>
        <w:t>consultation</w:t>
      </w:r>
      <w:r w:rsidR="00072906">
        <w:rPr>
          <w:lang w:val="fr-FR"/>
        </w:rPr>
        <w:t xml:space="preserve"> approfondie</w:t>
      </w:r>
      <w:r w:rsidR="00C031F2">
        <w:rPr>
          <w:lang w:val="fr-FR"/>
        </w:rPr>
        <w:t xml:space="preserve"> </w:t>
      </w:r>
      <w:r w:rsidR="007E76FD">
        <w:rPr>
          <w:lang w:val="fr-FR"/>
        </w:rPr>
        <w:t>avec les populations autochtones, leurs chefs, et/ou leurs organismes représenta</w:t>
      </w:r>
      <w:r w:rsidR="00E02D12">
        <w:rPr>
          <w:lang w:val="fr-FR"/>
        </w:rPr>
        <w:t>nts</w:t>
      </w:r>
      <w:r w:rsidR="003A061A">
        <w:rPr>
          <w:lang w:val="fr-FR"/>
        </w:rPr>
        <w:t xml:space="preserve">. Au Canada, </w:t>
      </w:r>
      <w:r w:rsidR="00E02D12">
        <w:rPr>
          <w:lang w:val="fr-FR"/>
        </w:rPr>
        <w:t>vous auriez à</w:t>
      </w:r>
      <w:r w:rsidR="003A061A">
        <w:rPr>
          <w:lang w:val="fr-FR"/>
        </w:rPr>
        <w:t xml:space="preserve"> travailler avec :</w:t>
      </w:r>
    </w:p>
    <w:p w14:paraId="132B6BC3" w14:textId="4609C9AA" w:rsidR="003A061A" w:rsidRDefault="000167F6" w:rsidP="003A061A">
      <w:pPr>
        <w:pStyle w:val="ListParagraph"/>
        <w:numPr>
          <w:ilvl w:val="0"/>
          <w:numId w:val="1"/>
        </w:numPr>
        <w:rPr>
          <w:lang w:val="fr-FR"/>
        </w:rPr>
      </w:pPr>
      <w:r>
        <w:rPr>
          <w:lang w:val="fr-FR"/>
        </w:rPr>
        <w:t xml:space="preserve">Les communautés locales </w:t>
      </w:r>
      <w:r w:rsidR="00DC672E">
        <w:rPr>
          <w:lang w:val="fr-FR"/>
        </w:rPr>
        <w:t xml:space="preserve">des </w:t>
      </w:r>
      <w:r>
        <w:rPr>
          <w:lang w:val="fr-FR"/>
        </w:rPr>
        <w:t>Première</w:t>
      </w:r>
      <w:r w:rsidR="00162423">
        <w:rPr>
          <w:lang w:val="fr-FR"/>
        </w:rPr>
        <w:t>(s) nations(s), Inuit et Métis</w:t>
      </w:r>
    </w:p>
    <w:p w14:paraId="07A34969" w14:textId="262E591B" w:rsidR="00162423" w:rsidRDefault="00162423" w:rsidP="003A061A">
      <w:pPr>
        <w:pStyle w:val="ListParagraph"/>
        <w:numPr>
          <w:ilvl w:val="0"/>
          <w:numId w:val="1"/>
        </w:numPr>
        <w:rPr>
          <w:lang w:val="fr-FR"/>
        </w:rPr>
      </w:pPr>
      <w:r>
        <w:rPr>
          <w:lang w:val="fr-FR"/>
        </w:rPr>
        <w:t xml:space="preserve">Le Centre national pour la </w:t>
      </w:r>
      <w:r w:rsidR="000B69A8">
        <w:rPr>
          <w:lang w:val="fr-FR"/>
        </w:rPr>
        <w:t>v</w:t>
      </w:r>
      <w:r>
        <w:rPr>
          <w:lang w:val="fr-FR"/>
        </w:rPr>
        <w:t xml:space="preserve">érité et la </w:t>
      </w:r>
      <w:r w:rsidR="000B69A8">
        <w:rPr>
          <w:lang w:val="fr-FR"/>
        </w:rPr>
        <w:t>r</w:t>
      </w:r>
      <w:r>
        <w:rPr>
          <w:lang w:val="fr-FR"/>
        </w:rPr>
        <w:t>éconciliation</w:t>
      </w:r>
    </w:p>
    <w:p w14:paraId="583BA879" w14:textId="0502EE5E" w:rsidR="00162423" w:rsidRDefault="000323A3" w:rsidP="003A061A">
      <w:pPr>
        <w:pStyle w:val="ListParagraph"/>
        <w:numPr>
          <w:ilvl w:val="0"/>
          <w:numId w:val="1"/>
        </w:numPr>
        <w:rPr>
          <w:lang w:val="fr-FR"/>
        </w:rPr>
      </w:pPr>
      <w:r>
        <w:rPr>
          <w:lang w:val="fr-FR"/>
        </w:rPr>
        <w:t xml:space="preserve">Les </w:t>
      </w:r>
      <w:r w:rsidR="00506AC2">
        <w:rPr>
          <w:lang w:val="fr-FR"/>
        </w:rPr>
        <w:t>a</w:t>
      </w:r>
      <w:r>
        <w:rPr>
          <w:lang w:val="fr-FR"/>
        </w:rPr>
        <w:t xml:space="preserve">inés et les </w:t>
      </w:r>
      <w:r w:rsidR="00506AC2">
        <w:rPr>
          <w:lang w:val="fr-FR"/>
        </w:rPr>
        <w:t>g</w:t>
      </w:r>
      <w:r>
        <w:rPr>
          <w:lang w:val="fr-FR"/>
        </w:rPr>
        <w:t>ardiens du savoir</w:t>
      </w:r>
    </w:p>
    <w:p w14:paraId="3A399E9C" w14:textId="4CDF9A40" w:rsidR="000323A3" w:rsidRDefault="000323A3" w:rsidP="003A061A">
      <w:pPr>
        <w:pStyle w:val="ListParagraph"/>
        <w:numPr>
          <w:ilvl w:val="0"/>
          <w:numId w:val="1"/>
        </w:numPr>
        <w:rPr>
          <w:lang w:val="fr-FR"/>
        </w:rPr>
      </w:pPr>
      <w:r>
        <w:rPr>
          <w:lang w:val="fr-FR"/>
        </w:rPr>
        <w:t xml:space="preserve">Les bureaux </w:t>
      </w:r>
      <w:r w:rsidR="00EC1F07">
        <w:rPr>
          <w:lang w:val="fr-FR"/>
        </w:rPr>
        <w:t xml:space="preserve">de la Commission </w:t>
      </w:r>
      <w:r w:rsidR="00CA2549">
        <w:rPr>
          <w:lang w:val="fr-FR"/>
        </w:rPr>
        <w:t>provinciale d’étude des</w:t>
      </w:r>
      <w:r w:rsidR="00EC1F07">
        <w:rPr>
          <w:lang w:val="fr-FR"/>
        </w:rPr>
        <w:t xml:space="preserve"> traité</w:t>
      </w:r>
      <w:r w:rsidR="00CA2549">
        <w:rPr>
          <w:lang w:val="fr-FR"/>
        </w:rPr>
        <w:t>s</w:t>
      </w:r>
    </w:p>
    <w:p w14:paraId="20ABF396" w14:textId="119E7C1F" w:rsidR="00CA2549" w:rsidRDefault="00AB08AF" w:rsidP="003A061A">
      <w:pPr>
        <w:pStyle w:val="ListParagraph"/>
        <w:numPr>
          <w:ilvl w:val="0"/>
          <w:numId w:val="1"/>
        </w:numPr>
        <w:rPr>
          <w:lang w:val="fr-FR"/>
        </w:rPr>
      </w:pPr>
      <w:r>
        <w:rPr>
          <w:lang w:val="fr-FR"/>
        </w:rPr>
        <w:t xml:space="preserve">Les groupes dédiés à </w:t>
      </w:r>
      <w:r w:rsidR="00A05926">
        <w:rPr>
          <w:lang w:val="fr-FR"/>
        </w:rPr>
        <w:t>promouvoir</w:t>
      </w:r>
      <w:r>
        <w:rPr>
          <w:lang w:val="fr-FR"/>
        </w:rPr>
        <w:t xml:space="preserve"> la </w:t>
      </w:r>
      <w:r w:rsidR="00B50867">
        <w:rPr>
          <w:lang w:val="fr-FR"/>
        </w:rPr>
        <w:t>r</w:t>
      </w:r>
      <w:r>
        <w:rPr>
          <w:lang w:val="fr-FR"/>
        </w:rPr>
        <w:t>éconciliation au niveau municipal</w:t>
      </w:r>
    </w:p>
    <w:p w14:paraId="7794755C" w14:textId="5DA9E208" w:rsidR="00AB08AF" w:rsidRDefault="00AB08AF" w:rsidP="003A061A">
      <w:pPr>
        <w:pStyle w:val="ListParagraph"/>
        <w:numPr>
          <w:ilvl w:val="0"/>
          <w:numId w:val="1"/>
        </w:numPr>
        <w:rPr>
          <w:lang w:val="fr-FR"/>
        </w:rPr>
      </w:pPr>
      <w:r>
        <w:rPr>
          <w:lang w:val="fr-FR"/>
        </w:rPr>
        <w:t xml:space="preserve">Les chercheurs et les </w:t>
      </w:r>
      <w:r w:rsidR="003A4387">
        <w:rPr>
          <w:lang w:val="fr-FR"/>
        </w:rPr>
        <w:t xml:space="preserve">formateurs </w:t>
      </w:r>
      <w:r>
        <w:rPr>
          <w:lang w:val="fr-FR"/>
        </w:rPr>
        <w:t xml:space="preserve">autochtones </w:t>
      </w:r>
      <w:r w:rsidR="00BF3A94">
        <w:rPr>
          <w:lang w:val="fr-FR"/>
        </w:rPr>
        <w:t xml:space="preserve">dans les universités ou les institutions </w:t>
      </w:r>
      <w:r w:rsidR="008B7F5E">
        <w:rPr>
          <w:lang w:val="fr-FR"/>
        </w:rPr>
        <w:t>post</w:t>
      </w:r>
      <w:r w:rsidR="00B50867">
        <w:rPr>
          <w:lang w:val="fr-FR"/>
        </w:rPr>
        <w:t>-</w:t>
      </w:r>
      <w:r w:rsidR="008B7F5E">
        <w:rPr>
          <w:lang w:val="fr-FR"/>
        </w:rPr>
        <w:t xml:space="preserve">secondaires, </w:t>
      </w:r>
      <w:r w:rsidR="002440E9">
        <w:rPr>
          <w:lang w:val="fr-FR"/>
        </w:rPr>
        <w:t>dont l’Université des Premières Nations du Canada et l’Institut Gabriel Dumont</w:t>
      </w:r>
    </w:p>
    <w:p w14:paraId="461EA6E8" w14:textId="74D4D549" w:rsidR="002440E9" w:rsidRDefault="002440E9" w:rsidP="003A061A">
      <w:pPr>
        <w:pStyle w:val="ListParagraph"/>
        <w:numPr>
          <w:ilvl w:val="0"/>
          <w:numId w:val="1"/>
        </w:numPr>
        <w:rPr>
          <w:lang w:val="fr-FR"/>
        </w:rPr>
      </w:pPr>
      <w:r>
        <w:rPr>
          <w:lang w:val="fr-FR"/>
        </w:rPr>
        <w:t>Le personnel et les bénévole</w:t>
      </w:r>
      <w:r w:rsidR="007C187A">
        <w:rPr>
          <w:lang w:val="fr-FR"/>
        </w:rPr>
        <w:t>s</w:t>
      </w:r>
      <w:r w:rsidR="00FF2A0E">
        <w:rPr>
          <w:lang w:val="fr-FR"/>
        </w:rPr>
        <w:t xml:space="preserve"> </w:t>
      </w:r>
      <w:r w:rsidR="007C337E">
        <w:rPr>
          <w:lang w:val="fr-FR"/>
        </w:rPr>
        <w:t>des sites historiques et/</w:t>
      </w:r>
      <w:r w:rsidR="00FF2A0E">
        <w:rPr>
          <w:lang w:val="fr-FR"/>
        </w:rPr>
        <w:t>ou</w:t>
      </w:r>
      <w:r w:rsidR="007C337E">
        <w:rPr>
          <w:lang w:val="fr-FR"/>
        </w:rPr>
        <w:t xml:space="preserve"> </w:t>
      </w:r>
      <w:r w:rsidR="00FF2A0E">
        <w:rPr>
          <w:lang w:val="fr-FR"/>
        </w:rPr>
        <w:t>culturel</w:t>
      </w:r>
      <w:r w:rsidR="007C337E">
        <w:rPr>
          <w:lang w:val="fr-FR"/>
        </w:rPr>
        <w:t>s</w:t>
      </w:r>
      <w:r w:rsidR="00FF2A0E">
        <w:rPr>
          <w:lang w:val="fr-FR"/>
        </w:rPr>
        <w:t xml:space="preserve"> qui </w:t>
      </w:r>
      <w:r w:rsidR="00666AE5">
        <w:rPr>
          <w:lang w:val="fr-FR"/>
        </w:rPr>
        <w:t>informe</w:t>
      </w:r>
      <w:r w:rsidR="00AC6DCB">
        <w:rPr>
          <w:lang w:val="fr-FR"/>
        </w:rPr>
        <w:t>nt</w:t>
      </w:r>
      <w:r w:rsidR="00666AE5">
        <w:rPr>
          <w:lang w:val="fr-FR"/>
        </w:rPr>
        <w:t xml:space="preserve"> le public sur les populations autochtones. </w:t>
      </w:r>
      <w:r w:rsidR="005E0752">
        <w:rPr>
          <w:lang w:val="fr-FR"/>
        </w:rPr>
        <w:t>Comme</w:t>
      </w:r>
      <w:r w:rsidR="00666AE5">
        <w:rPr>
          <w:lang w:val="fr-FR"/>
        </w:rPr>
        <w:t xml:space="preserve"> </w:t>
      </w:r>
      <w:r w:rsidR="00F8528D">
        <w:rPr>
          <w:lang w:val="fr-FR"/>
        </w:rPr>
        <w:t xml:space="preserve">(liste non exhaustive) : </w:t>
      </w:r>
    </w:p>
    <w:p w14:paraId="0DAAD705" w14:textId="7001D5E4" w:rsidR="00F8528D" w:rsidRDefault="00F8528D" w:rsidP="00F8528D">
      <w:pPr>
        <w:pStyle w:val="ListParagraph"/>
        <w:numPr>
          <w:ilvl w:val="0"/>
          <w:numId w:val="2"/>
        </w:numPr>
        <w:rPr>
          <w:lang w:val="fr-FR"/>
        </w:rPr>
      </w:pPr>
      <w:r>
        <w:rPr>
          <w:lang w:val="fr-FR"/>
        </w:rPr>
        <w:t xml:space="preserve">Le Musée </w:t>
      </w:r>
      <w:proofErr w:type="spellStart"/>
      <w:r>
        <w:rPr>
          <w:lang w:val="fr-FR"/>
        </w:rPr>
        <w:t>Nisga</w:t>
      </w:r>
      <w:r w:rsidR="005E0752">
        <w:rPr>
          <w:lang w:val="fr-FR"/>
        </w:rPr>
        <w:t>’a</w:t>
      </w:r>
      <w:proofErr w:type="spellEnd"/>
      <w:r>
        <w:rPr>
          <w:lang w:val="fr-FR"/>
        </w:rPr>
        <w:t xml:space="preserve"> en Colombie</w:t>
      </w:r>
      <w:r w:rsidR="00ED51E8">
        <w:rPr>
          <w:lang w:val="fr-FR"/>
        </w:rPr>
        <w:t>-</w:t>
      </w:r>
      <w:r>
        <w:rPr>
          <w:lang w:val="fr-FR"/>
        </w:rPr>
        <w:t>Britannique</w:t>
      </w:r>
    </w:p>
    <w:p w14:paraId="64FA2F9E" w14:textId="55568B9C" w:rsidR="00F8528D" w:rsidRDefault="00256AA4" w:rsidP="00F8528D">
      <w:pPr>
        <w:pStyle w:val="ListParagraph"/>
        <w:numPr>
          <w:ilvl w:val="0"/>
          <w:numId w:val="2"/>
        </w:numPr>
        <w:rPr>
          <w:lang w:val="fr-FR"/>
        </w:rPr>
      </w:pPr>
      <w:r>
        <w:rPr>
          <w:lang w:val="fr-FR"/>
        </w:rPr>
        <w:t xml:space="preserve">Le site </w:t>
      </w:r>
      <w:r w:rsidR="00DF75D5">
        <w:rPr>
          <w:lang w:val="fr-FR"/>
        </w:rPr>
        <w:t>du</w:t>
      </w:r>
      <w:r w:rsidR="00573808">
        <w:rPr>
          <w:lang w:val="fr-FR"/>
        </w:rPr>
        <w:t xml:space="preserve"> patrimoine </w:t>
      </w:r>
      <w:r w:rsidR="00DF75D5">
        <w:rPr>
          <w:lang w:val="fr-FR"/>
        </w:rPr>
        <w:t>mondial de l’UNESCO</w:t>
      </w:r>
      <w:r w:rsidR="00395DCC">
        <w:rPr>
          <w:lang w:val="fr-FR"/>
        </w:rPr>
        <w:t xml:space="preserve"> en Alberta</w:t>
      </w:r>
      <w:r w:rsidR="00DF75D5">
        <w:rPr>
          <w:lang w:val="fr-FR"/>
        </w:rPr>
        <w:t xml:space="preserve"> </w:t>
      </w:r>
      <w:r w:rsidR="00126348">
        <w:rPr>
          <w:lang w:val="fr-FR"/>
        </w:rPr>
        <w:t>le p</w:t>
      </w:r>
      <w:r w:rsidR="00F70EFE">
        <w:rPr>
          <w:lang w:val="fr-FR"/>
        </w:rPr>
        <w:t>récipice</w:t>
      </w:r>
      <w:r w:rsidR="00382ECD">
        <w:rPr>
          <w:lang w:val="fr-FR"/>
        </w:rPr>
        <w:t xml:space="preserve"> à bisons Head</w:t>
      </w:r>
      <w:r w:rsidR="00EE5038">
        <w:rPr>
          <w:lang w:val="fr-FR"/>
        </w:rPr>
        <w:t>-</w:t>
      </w:r>
      <w:proofErr w:type="spellStart"/>
      <w:r w:rsidR="00382ECD">
        <w:rPr>
          <w:lang w:val="fr-FR"/>
        </w:rPr>
        <w:t>Smashed</w:t>
      </w:r>
      <w:proofErr w:type="spellEnd"/>
      <w:r w:rsidR="00382ECD">
        <w:rPr>
          <w:lang w:val="fr-FR"/>
        </w:rPr>
        <w:t>-In</w:t>
      </w:r>
    </w:p>
    <w:p w14:paraId="2BF4EF55" w14:textId="31957D68" w:rsidR="00382ECD" w:rsidRDefault="00382ECD" w:rsidP="00F8528D">
      <w:pPr>
        <w:pStyle w:val="ListParagraph"/>
        <w:numPr>
          <w:ilvl w:val="0"/>
          <w:numId w:val="2"/>
        </w:numPr>
        <w:rPr>
          <w:lang w:val="fr-FR"/>
        </w:rPr>
      </w:pPr>
      <w:r>
        <w:rPr>
          <w:lang w:val="fr-FR"/>
        </w:rPr>
        <w:lastRenderedPageBreak/>
        <w:t xml:space="preserve">Le site national historique de </w:t>
      </w:r>
      <w:proofErr w:type="spellStart"/>
      <w:r>
        <w:rPr>
          <w:lang w:val="fr-FR"/>
        </w:rPr>
        <w:t>Batoche</w:t>
      </w:r>
      <w:proofErr w:type="spellEnd"/>
      <w:r>
        <w:rPr>
          <w:lang w:val="fr-FR"/>
        </w:rPr>
        <w:t xml:space="preserve"> en Saskatchewan</w:t>
      </w:r>
    </w:p>
    <w:p w14:paraId="3A7BAA5E" w14:textId="1FC3CA26" w:rsidR="00382ECD" w:rsidRDefault="00643CB3" w:rsidP="00F8528D">
      <w:pPr>
        <w:pStyle w:val="ListParagraph"/>
        <w:numPr>
          <w:ilvl w:val="0"/>
          <w:numId w:val="2"/>
        </w:numPr>
        <w:rPr>
          <w:lang w:val="fr-FR"/>
        </w:rPr>
      </w:pPr>
      <w:r>
        <w:rPr>
          <w:lang w:val="fr-FR"/>
        </w:rPr>
        <w:t xml:space="preserve">La </w:t>
      </w:r>
      <w:r w:rsidR="00395DCC">
        <w:rPr>
          <w:lang w:val="fr-FR"/>
        </w:rPr>
        <w:t>galerie</w:t>
      </w:r>
      <w:r>
        <w:rPr>
          <w:lang w:val="fr-FR"/>
        </w:rPr>
        <w:t xml:space="preserve"> d’art </w:t>
      </w:r>
      <w:r w:rsidR="00395DCC">
        <w:rPr>
          <w:lang w:val="fr-FR"/>
        </w:rPr>
        <w:t>de</w:t>
      </w:r>
      <w:r>
        <w:rPr>
          <w:lang w:val="fr-FR"/>
        </w:rPr>
        <w:t xml:space="preserve"> Winnipeg</w:t>
      </w:r>
      <w:r w:rsidR="008B2279">
        <w:rPr>
          <w:lang w:val="fr-FR"/>
        </w:rPr>
        <w:t>-</w:t>
      </w:r>
      <w:r w:rsidR="008B2279" w:rsidRPr="008B2279">
        <w:rPr>
          <w:sz w:val="24"/>
          <w:szCs w:val="24"/>
        </w:rPr>
        <w:t xml:space="preserve"> </w:t>
      </w:r>
      <w:proofErr w:type="spellStart"/>
      <w:r w:rsidR="008B2279" w:rsidRPr="005A350E">
        <w:rPr>
          <w:rFonts w:ascii="Calibri" w:hAnsi="Calibri" w:cs="Calibri"/>
          <w:sz w:val="24"/>
          <w:szCs w:val="24"/>
        </w:rPr>
        <w:t>Quamajuq</w:t>
      </w:r>
      <w:proofErr w:type="spellEnd"/>
      <w:r w:rsidR="008B2279">
        <w:rPr>
          <w:sz w:val="24"/>
          <w:szCs w:val="24"/>
        </w:rPr>
        <w:t xml:space="preserve"> </w:t>
      </w:r>
      <w:r w:rsidR="00395DCC">
        <w:rPr>
          <w:lang w:val="fr-FR"/>
        </w:rPr>
        <w:t>au</w:t>
      </w:r>
      <w:r>
        <w:rPr>
          <w:lang w:val="fr-FR"/>
        </w:rPr>
        <w:t xml:space="preserve"> </w:t>
      </w:r>
      <w:r w:rsidR="00395DCC">
        <w:rPr>
          <w:lang w:val="fr-FR"/>
        </w:rPr>
        <w:t>Manitoba</w:t>
      </w:r>
    </w:p>
    <w:p w14:paraId="5AA366A5" w14:textId="749E1228" w:rsidR="001A5E07" w:rsidRDefault="001A5E07" w:rsidP="00F8528D">
      <w:pPr>
        <w:pStyle w:val="ListParagraph"/>
        <w:numPr>
          <w:ilvl w:val="0"/>
          <w:numId w:val="2"/>
        </w:numPr>
        <w:rPr>
          <w:lang w:val="fr-FR"/>
        </w:rPr>
      </w:pPr>
      <w:r>
        <w:rPr>
          <w:lang w:val="fr-FR"/>
        </w:rPr>
        <w:t>Le centre culturel Woodland en Ontario</w:t>
      </w:r>
    </w:p>
    <w:p w14:paraId="41A82062" w14:textId="592A6935" w:rsidR="001A5E07" w:rsidRDefault="001A5E07" w:rsidP="00F8528D">
      <w:pPr>
        <w:pStyle w:val="ListParagraph"/>
        <w:numPr>
          <w:ilvl w:val="0"/>
          <w:numId w:val="2"/>
        </w:numPr>
        <w:rPr>
          <w:lang w:val="fr-FR"/>
        </w:rPr>
      </w:pPr>
      <w:r>
        <w:rPr>
          <w:lang w:val="fr-FR"/>
        </w:rPr>
        <w:t xml:space="preserve">Le parc national </w:t>
      </w:r>
      <w:proofErr w:type="spellStart"/>
      <w:r>
        <w:rPr>
          <w:lang w:val="fr-FR"/>
        </w:rPr>
        <w:t>Kouchibouguac</w:t>
      </w:r>
      <w:proofErr w:type="spellEnd"/>
      <w:r>
        <w:rPr>
          <w:lang w:val="fr-FR"/>
        </w:rPr>
        <w:t xml:space="preserve"> au Nouveau</w:t>
      </w:r>
      <w:r w:rsidR="00171258">
        <w:rPr>
          <w:lang w:val="fr-FR"/>
        </w:rPr>
        <w:t>-</w:t>
      </w:r>
      <w:r>
        <w:rPr>
          <w:lang w:val="fr-FR"/>
        </w:rPr>
        <w:t>Brunswick</w:t>
      </w:r>
    </w:p>
    <w:p w14:paraId="14CEDC7C" w14:textId="315460C2" w:rsidR="008169D2" w:rsidRDefault="008169D2" w:rsidP="00F8528D">
      <w:pPr>
        <w:pStyle w:val="ListParagraph"/>
        <w:numPr>
          <w:ilvl w:val="0"/>
          <w:numId w:val="2"/>
        </w:numPr>
        <w:rPr>
          <w:lang w:val="fr-FR"/>
        </w:rPr>
      </w:pPr>
      <w:r>
        <w:rPr>
          <w:lang w:val="fr-FR"/>
        </w:rPr>
        <w:t xml:space="preserve">Le centre culturel et </w:t>
      </w:r>
      <w:r w:rsidR="00171258">
        <w:rPr>
          <w:lang w:val="fr-FR"/>
        </w:rPr>
        <w:t>du patrimoine</w:t>
      </w:r>
      <w:r>
        <w:rPr>
          <w:lang w:val="fr-FR"/>
        </w:rPr>
        <w:t xml:space="preserve"> </w:t>
      </w:r>
      <w:r w:rsidR="0053736F">
        <w:rPr>
          <w:lang w:val="fr-FR"/>
        </w:rPr>
        <w:t>de Millbrook en Nouvelle</w:t>
      </w:r>
      <w:r w:rsidR="00171258">
        <w:rPr>
          <w:lang w:val="fr-FR"/>
        </w:rPr>
        <w:t>-</w:t>
      </w:r>
      <w:r w:rsidR="0053736F">
        <w:rPr>
          <w:lang w:val="fr-FR"/>
        </w:rPr>
        <w:t>Ecosse</w:t>
      </w:r>
    </w:p>
    <w:p w14:paraId="0D8EA791" w14:textId="171CBDC2" w:rsidR="0053736F" w:rsidRDefault="0053736F" w:rsidP="00F8528D">
      <w:pPr>
        <w:pStyle w:val="ListParagraph"/>
        <w:numPr>
          <w:ilvl w:val="0"/>
          <w:numId w:val="2"/>
        </w:numPr>
        <w:rPr>
          <w:lang w:val="fr-FR"/>
        </w:rPr>
      </w:pPr>
      <w:r>
        <w:rPr>
          <w:lang w:val="fr-FR"/>
        </w:rPr>
        <w:t xml:space="preserve">Le centre culturel </w:t>
      </w:r>
      <w:proofErr w:type="spellStart"/>
      <w:r>
        <w:rPr>
          <w:lang w:val="fr-FR"/>
        </w:rPr>
        <w:t>Mi’kmaq</w:t>
      </w:r>
      <w:proofErr w:type="spellEnd"/>
      <w:r w:rsidR="00B3229A">
        <w:rPr>
          <w:lang w:val="fr-FR"/>
        </w:rPr>
        <w:t xml:space="preserve"> </w:t>
      </w:r>
      <w:r w:rsidR="00CC40A5">
        <w:rPr>
          <w:lang w:val="fr-FR"/>
        </w:rPr>
        <w:t>de l’île</w:t>
      </w:r>
      <w:r w:rsidR="00141AD9">
        <w:rPr>
          <w:lang w:val="fr-FR"/>
        </w:rPr>
        <w:t xml:space="preserve"> Lennox </w:t>
      </w:r>
      <w:r w:rsidR="00B3229A">
        <w:rPr>
          <w:lang w:val="fr-FR"/>
        </w:rPr>
        <w:t>à l’</w:t>
      </w:r>
      <w:r w:rsidR="00141AD9">
        <w:rPr>
          <w:lang w:val="fr-FR"/>
        </w:rPr>
        <w:t>I</w:t>
      </w:r>
      <w:r w:rsidR="00B3229A">
        <w:rPr>
          <w:lang w:val="fr-FR"/>
        </w:rPr>
        <w:t>le</w:t>
      </w:r>
      <w:r w:rsidR="005E34B4">
        <w:rPr>
          <w:lang w:val="fr-FR"/>
        </w:rPr>
        <w:t>-</w:t>
      </w:r>
      <w:r w:rsidR="00B3229A">
        <w:rPr>
          <w:lang w:val="fr-FR"/>
        </w:rPr>
        <w:t>du</w:t>
      </w:r>
      <w:r w:rsidR="005E34B4">
        <w:rPr>
          <w:lang w:val="fr-FR"/>
        </w:rPr>
        <w:t>-</w:t>
      </w:r>
      <w:r w:rsidR="00B3229A">
        <w:rPr>
          <w:lang w:val="fr-FR"/>
        </w:rPr>
        <w:t>Prince</w:t>
      </w:r>
      <w:r w:rsidR="005E34B4">
        <w:rPr>
          <w:lang w:val="fr-FR"/>
        </w:rPr>
        <w:t>-</w:t>
      </w:r>
      <w:r w:rsidR="00B3229A">
        <w:rPr>
          <w:lang w:val="fr-FR"/>
        </w:rPr>
        <w:t>Edouard</w:t>
      </w:r>
    </w:p>
    <w:p w14:paraId="48DEF118" w14:textId="6DCFFCBF" w:rsidR="00643CB3" w:rsidRDefault="00643CB3" w:rsidP="00F8528D">
      <w:pPr>
        <w:pStyle w:val="ListParagraph"/>
        <w:numPr>
          <w:ilvl w:val="0"/>
          <w:numId w:val="2"/>
        </w:numPr>
        <w:rPr>
          <w:lang w:val="fr-FR"/>
        </w:rPr>
      </w:pPr>
      <w:r>
        <w:rPr>
          <w:lang w:val="fr-FR"/>
        </w:rPr>
        <w:t xml:space="preserve">Le centre culturel </w:t>
      </w:r>
      <w:proofErr w:type="spellStart"/>
      <w:r w:rsidR="004B21E9">
        <w:rPr>
          <w:lang w:val="fr-FR"/>
        </w:rPr>
        <w:t>Illusuak</w:t>
      </w:r>
      <w:proofErr w:type="spellEnd"/>
      <w:r w:rsidR="00A426BF">
        <w:rPr>
          <w:lang w:val="fr-FR"/>
        </w:rPr>
        <w:t xml:space="preserve"> à Terre</w:t>
      </w:r>
      <w:r w:rsidR="005E34B4">
        <w:rPr>
          <w:lang w:val="fr-FR"/>
        </w:rPr>
        <w:t>-N</w:t>
      </w:r>
      <w:r w:rsidR="00A426BF">
        <w:rPr>
          <w:lang w:val="fr-FR"/>
        </w:rPr>
        <w:t>euve</w:t>
      </w:r>
      <w:r w:rsidR="005E34B4">
        <w:rPr>
          <w:lang w:val="fr-FR"/>
        </w:rPr>
        <w:t>-</w:t>
      </w:r>
      <w:r w:rsidR="00A426BF">
        <w:rPr>
          <w:lang w:val="fr-FR"/>
        </w:rPr>
        <w:t>et</w:t>
      </w:r>
      <w:r w:rsidR="005E34B4">
        <w:rPr>
          <w:lang w:val="fr-FR"/>
        </w:rPr>
        <w:t>-</w:t>
      </w:r>
      <w:r w:rsidR="00A426BF">
        <w:rPr>
          <w:lang w:val="fr-FR"/>
        </w:rPr>
        <w:t>Labrador</w:t>
      </w:r>
    </w:p>
    <w:p w14:paraId="269B368F" w14:textId="03EFD0F4" w:rsidR="00B3229A" w:rsidRDefault="00B3229A" w:rsidP="00F8528D">
      <w:pPr>
        <w:pStyle w:val="ListParagraph"/>
        <w:numPr>
          <w:ilvl w:val="0"/>
          <w:numId w:val="2"/>
        </w:numPr>
        <w:rPr>
          <w:lang w:val="fr-FR"/>
        </w:rPr>
      </w:pPr>
      <w:r>
        <w:rPr>
          <w:lang w:val="fr-FR"/>
        </w:rPr>
        <w:t xml:space="preserve">Le centre culturel </w:t>
      </w:r>
      <w:proofErr w:type="spellStart"/>
      <w:r>
        <w:rPr>
          <w:lang w:val="fr-FR"/>
        </w:rPr>
        <w:t>Kwanlin</w:t>
      </w:r>
      <w:proofErr w:type="spellEnd"/>
      <w:r>
        <w:rPr>
          <w:lang w:val="fr-FR"/>
        </w:rPr>
        <w:t xml:space="preserve"> au Yukon</w:t>
      </w:r>
    </w:p>
    <w:p w14:paraId="1B5DC56D" w14:textId="62191459" w:rsidR="00A426BF" w:rsidRDefault="00171258" w:rsidP="00F8528D">
      <w:pPr>
        <w:pStyle w:val="ListParagraph"/>
        <w:numPr>
          <w:ilvl w:val="0"/>
          <w:numId w:val="2"/>
        </w:numPr>
        <w:rPr>
          <w:lang w:val="fr-FR"/>
        </w:rPr>
      </w:pPr>
      <w:r>
        <w:rPr>
          <w:lang w:val="fr-FR"/>
        </w:rPr>
        <w:t xml:space="preserve">Le </w:t>
      </w:r>
      <w:r w:rsidR="00F80B8C">
        <w:rPr>
          <w:lang w:val="fr-FR"/>
        </w:rPr>
        <w:t>circuit d’interprétation</w:t>
      </w:r>
      <w:r w:rsidR="00F12C94">
        <w:rPr>
          <w:lang w:val="fr-FR"/>
        </w:rPr>
        <w:t xml:space="preserve"> des</w:t>
      </w:r>
      <w:r w:rsidR="00A426BF">
        <w:rPr>
          <w:lang w:val="fr-FR"/>
        </w:rPr>
        <w:t xml:space="preserve"> </w:t>
      </w:r>
      <w:r w:rsidR="00CA257C">
        <w:rPr>
          <w:lang w:val="fr-FR"/>
        </w:rPr>
        <w:t>l</w:t>
      </w:r>
      <w:r w:rsidR="00A426BF">
        <w:rPr>
          <w:lang w:val="fr-FR"/>
        </w:rPr>
        <w:t xml:space="preserve">égendes de l’aurore </w:t>
      </w:r>
      <w:r w:rsidR="00CA257C">
        <w:rPr>
          <w:lang w:val="fr-FR"/>
        </w:rPr>
        <w:t xml:space="preserve">boréale </w:t>
      </w:r>
      <w:r w:rsidR="00F12C94">
        <w:rPr>
          <w:lang w:val="fr-FR"/>
        </w:rPr>
        <w:t>dans les</w:t>
      </w:r>
      <w:r w:rsidR="00A426BF">
        <w:rPr>
          <w:lang w:val="fr-FR"/>
        </w:rPr>
        <w:t xml:space="preserve"> Territoires</w:t>
      </w:r>
      <w:r>
        <w:rPr>
          <w:lang w:val="fr-FR"/>
        </w:rPr>
        <w:t>-</w:t>
      </w:r>
      <w:r w:rsidR="00A426BF">
        <w:rPr>
          <w:lang w:val="fr-FR"/>
        </w:rPr>
        <w:t>du</w:t>
      </w:r>
      <w:r>
        <w:rPr>
          <w:lang w:val="fr-FR"/>
        </w:rPr>
        <w:t>-</w:t>
      </w:r>
      <w:r w:rsidR="00A426BF">
        <w:rPr>
          <w:lang w:val="fr-FR"/>
        </w:rPr>
        <w:t>Nord</w:t>
      </w:r>
      <w:r>
        <w:rPr>
          <w:lang w:val="fr-FR"/>
        </w:rPr>
        <w:t>-du-</w:t>
      </w:r>
      <w:r w:rsidR="00CA257C">
        <w:rPr>
          <w:lang w:val="fr-FR"/>
        </w:rPr>
        <w:t>Ouest.</w:t>
      </w:r>
    </w:p>
    <w:p w14:paraId="7229FC15" w14:textId="0E0E34AE" w:rsidR="00A426BF" w:rsidRDefault="00F12C94" w:rsidP="00F8528D">
      <w:pPr>
        <w:pStyle w:val="ListParagraph"/>
        <w:numPr>
          <w:ilvl w:val="0"/>
          <w:numId w:val="2"/>
        </w:numPr>
        <w:rPr>
          <w:lang w:val="fr-FR"/>
        </w:rPr>
      </w:pPr>
      <w:r>
        <w:rPr>
          <w:lang w:val="fr-FR"/>
        </w:rPr>
        <w:t xml:space="preserve">Le </w:t>
      </w:r>
      <w:r w:rsidR="007147CE">
        <w:rPr>
          <w:lang w:val="fr-FR"/>
        </w:rPr>
        <w:t xml:space="preserve">Musée </w:t>
      </w:r>
      <w:r w:rsidR="00E63722">
        <w:rPr>
          <w:lang w:val="fr-FR"/>
        </w:rPr>
        <w:t xml:space="preserve">Nunatta </w:t>
      </w:r>
      <w:proofErr w:type="spellStart"/>
      <w:r w:rsidR="00E63722">
        <w:rPr>
          <w:lang w:val="fr-FR"/>
        </w:rPr>
        <w:t>Suna</w:t>
      </w:r>
      <w:r w:rsidR="009A60CF">
        <w:rPr>
          <w:lang w:val="fr-FR"/>
        </w:rPr>
        <w:t>kktaangit</w:t>
      </w:r>
      <w:proofErr w:type="spellEnd"/>
      <w:r w:rsidR="009A60CF">
        <w:rPr>
          <w:lang w:val="fr-FR"/>
        </w:rPr>
        <w:t xml:space="preserve"> au Nunavut</w:t>
      </w:r>
    </w:p>
    <w:p w14:paraId="33A494CA" w14:textId="6E55C831" w:rsidR="009A60CF" w:rsidRDefault="00AE6D51" w:rsidP="009A60CF">
      <w:pPr>
        <w:rPr>
          <w:lang w:val="fr-FR"/>
        </w:rPr>
      </w:pPr>
      <w:r>
        <w:rPr>
          <w:lang w:val="fr-FR"/>
        </w:rPr>
        <w:t>Lorsque vous travaillez</w:t>
      </w:r>
      <w:r w:rsidR="000D0F75">
        <w:rPr>
          <w:lang w:val="fr-FR"/>
        </w:rPr>
        <w:t xml:space="preserve"> avec des groupes </w:t>
      </w:r>
      <w:r w:rsidR="002B4B50">
        <w:rPr>
          <w:lang w:val="fr-FR"/>
        </w:rPr>
        <w:t>autochtones</w:t>
      </w:r>
      <w:r w:rsidR="000D0F75">
        <w:rPr>
          <w:lang w:val="fr-FR"/>
        </w:rPr>
        <w:t>, il est important d</w:t>
      </w:r>
      <w:r w:rsidR="00737378">
        <w:rPr>
          <w:lang w:val="fr-FR"/>
        </w:rPr>
        <w:t xml:space="preserve">’établir </w:t>
      </w:r>
      <w:r w:rsidR="000D0F75">
        <w:rPr>
          <w:lang w:val="fr-FR"/>
        </w:rPr>
        <w:t>des objectifs, du contenu et des</w:t>
      </w:r>
      <w:r w:rsidR="006B404E">
        <w:rPr>
          <w:lang w:val="fr-FR"/>
        </w:rPr>
        <w:t xml:space="preserve"> échéance</w:t>
      </w:r>
      <w:r w:rsidR="00F05F27">
        <w:rPr>
          <w:lang w:val="fr-FR"/>
        </w:rPr>
        <w:t>s</w:t>
      </w:r>
      <w:r w:rsidR="00CD3A79">
        <w:rPr>
          <w:lang w:val="fr-FR"/>
        </w:rPr>
        <w:t xml:space="preserve"> </w:t>
      </w:r>
      <w:r w:rsidR="00737378">
        <w:rPr>
          <w:lang w:val="fr-FR"/>
        </w:rPr>
        <w:t xml:space="preserve">ensemble </w:t>
      </w:r>
      <w:r w:rsidR="00CD3A79">
        <w:rPr>
          <w:lang w:val="fr-FR"/>
        </w:rPr>
        <w:t xml:space="preserve">et </w:t>
      </w:r>
      <w:r w:rsidR="00AA7535">
        <w:rPr>
          <w:lang w:val="fr-FR"/>
        </w:rPr>
        <w:t>de tenir compte des</w:t>
      </w:r>
      <w:r w:rsidR="00B63409">
        <w:rPr>
          <w:lang w:val="fr-FR"/>
        </w:rPr>
        <w:t xml:space="preserve"> capacité</w:t>
      </w:r>
      <w:r w:rsidR="00AA7535">
        <w:rPr>
          <w:lang w:val="fr-FR"/>
        </w:rPr>
        <w:t>s</w:t>
      </w:r>
      <w:r w:rsidR="00B63409">
        <w:rPr>
          <w:lang w:val="fr-FR"/>
        </w:rPr>
        <w:t>.</w:t>
      </w:r>
      <w:r w:rsidR="00AC4BA9">
        <w:rPr>
          <w:lang w:val="fr-FR"/>
        </w:rPr>
        <w:t xml:space="preserve"> En effet, b</w:t>
      </w:r>
      <w:r w:rsidR="00B63409">
        <w:rPr>
          <w:lang w:val="fr-FR"/>
        </w:rPr>
        <w:t xml:space="preserve">eaucoup de communautés et de groupes autochtones sont </w:t>
      </w:r>
      <w:r w:rsidR="007963A5">
        <w:rPr>
          <w:lang w:val="fr-FR"/>
        </w:rPr>
        <w:t>constamment sollicités</w:t>
      </w:r>
      <w:r w:rsidR="00B63409">
        <w:rPr>
          <w:lang w:val="fr-FR"/>
        </w:rPr>
        <w:t xml:space="preserve"> </w:t>
      </w:r>
      <w:r w:rsidR="00831D6D">
        <w:rPr>
          <w:lang w:val="fr-FR"/>
        </w:rPr>
        <w:t xml:space="preserve">pour </w:t>
      </w:r>
      <w:r w:rsidR="00204F88">
        <w:rPr>
          <w:lang w:val="fr-FR"/>
        </w:rPr>
        <w:t xml:space="preserve">donner de leur temps, </w:t>
      </w:r>
      <w:r w:rsidR="00850962">
        <w:rPr>
          <w:lang w:val="fr-FR"/>
        </w:rPr>
        <w:t xml:space="preserve">partager leurs </w:t>
      </w:r>
      <w:r w:rsidR="00204F88">
        <w:rPr>
          <w:lang w:val="fr-FR"/>
        </w:rPr>
        <w:t>savoirs et cultures</w:t>
      </w:r>
      <w:r w:rsidR="00CD77C1">
        <w:rPr>
          <w:lang w:val="fr-FR"/>
        </w:rPr>
        <w:t xml:space="preserve">. Prendre </w:t>
      </w:r>
      <w:r w:rsidR="00040F2E">
        <w:rPr>
          <w:lang w:val="fr-FR"/>
        </w:rPr>
        <w:t xml:space="preserve">le temps de faire </w:t>
      </w:r>
      <w:r w:rsidR="00517026">
        <w:rPr>
          <w:lang w:val="fr-FR"/>
        </w:rPr>
        <w:t>des suivis</w:t>
      </w:r>
      <w:r w:rsidR="00D82E55">
        <w:rPr>
          <w:lang w:val="fr-FR"/>
        </w:rPr>
        <w:t xml:space="preserve"> fréquemment avec les partenaires du projet garantira que tout le monde est sur la même longueur d’ondes</w:t>
      </w:r>
      <w:r w:rsidR="00772194">
        <w:rPr>
          <w:lang w:val="fr-FR"/>
        </w:rPr>
        <w:t xml:space="preserve"> et que</w:t>
      </w:r>
      <w:r w:rsidR="003B40B4">
        <w:rPr>
          <w:lang w:val="fr-FR"/>
        </w:rPr>
        <w:t xml:space="preserve"> </w:t>
      </w:r>
      <w:r w:rsidR="00772194">
        <w:rPr>
          <w:lang w:val="fr-FR"/>
        </w:rPr>
        <w:t xml:space="preserve">les </w:t>
      </w:r>
      <w:r w:rsidR="00156D28">
        <w:rPr>
          <w:lang w:val="fr-FR"/>
        </w:rPr>
        <w:t>résultats escomptés</w:t>
      </w:r>
      <w:r w:rsidR="00A464F1">
        <w:rPr>
          <w:lang w:val="fr-FR"/>
        </w:rPr>
        <w:t xml:space="preserve"> </w:t>
      </w:r>
      <w:r w:rsidR="00FF5582">
        <w:rPr>
          <w:lang w:val="fr-FR"/>
        </w:rPr>
        <w:t>demeurent</w:t>
      </w:r>
      <w:r w:rsidR="00A464F1">
        <w:rPr>
          <w:lang w:val="fr-FR"/>
        </w:rPr>
        <w:t xml:space="preserve"> raisonnables. En outre, </w:t>
      </w:r>
      <w:r w:rsidR="00022446">
        <w:rPr>
          <w:lang w:val="fr-FR"/>
        </w:rPr>
        <w:t xml:space="preserve">lors de </w:t>
      </w:r>
      <w:r w:rsidR="000409D8">
        <w:rPr>
          <w:lang w:val="fr-FR"/>
        </w:rPr>
        <w:t>l’élaboration</w:t>
      </w:r>
      <w:r w:rsidR="00022446">
        <w:rPr>
          <w:lang w:val="fr-FR"/>
        </w:rPr>
        <w:t xml:space="preserve"> d’une stratégie </w:t>
      </w:r>
      <w:r w:rsidR="000732A2">
        <w:rPr>
          <w:lang w:val="fr-FR"/>
        </w:rPr>
        <w:t>de mobilisation des</w:t>
      </w:r>
      <w:r w:rsidR="00022446">
        <w:rPr>
          <w:lang w:val="fr-FR"/>
        </w:rPr>
        <w:t xml:space="preserve"> autochtone</w:t>
      </w:r>
      <w:r w:rsidR="000732A2">
        <w:rPr>
          <w:lang w:val="fr-FR"/>
        </w:rPr>
        <w:t>s</w:t>
      </w:r>
      <w:r w:rsidR="00022446">
        <w:rPr>
          <w:lang w:val="fr-FR"/>
        </w:rPr>
        <w:t xml:space="preserve">, il est utile de penser à la stratégie </w:t>
      </w:r>
      <w:r w:rsidR="00CE79AE">
        <w:rPr>
          <w:lang w:val="fr-FR"/>
        </w:rPr>
        <w:t>comme</w:t>
      </w:r>
      <w:r w:rsidR="007B1B9F">
        <w:rPr>
          <w:lang w:val="fr-FR"/>
        </w:rPr>
        <w:t xml:space="preserve"> </w:t>
      </w:r>
      <w:r w:rsidR="00DF2B6D">
        <w:rPr>
          <w:lang w:val="fr-FR"/>
        </w:rPr>
        <w:t>un document dynamique</w:t>
      </w:r>
      <w:r w:rsidR="00F67B69">
        <w:rPr>
          <w:lang w:val="fr-FR"/>
        </w:rPr>
        <w:t>/vivant</w:t>
      </w:r>
      <w:r w:rsidR="005440C8">
        <w:rPr>
          <w:lang w:val="fr-FR"/>
        </w:rPr>
        <w:t xml:space="preserve">. En effet, votre stratégie ne sera jamais </w:t>
      </w:r>
      <w:r w:rsidR="004712C6">
        <w:rPr>
          <w:lang w:val="fr-FR"/>
        </w:rPr>
        <w:t>complétée</w:t>
      </w:r>
      <w:r w:rsidR="005440C8">
        <w:rPr>
          <w:lang w:val="fr-FR"/>
        </w:rPr>
        <w:t xml:space="preserve"> ou finie, mais</w:t>
      </w:r>
      <w:r w:rsidR="009B4572">
        <w:rPr>
          <w:lang w:val="fr-FR"/>
        </w:rPr>
        <w:t xml:space="preserve"> </w:t>
      </w:r>
      <w:r w:rsidR="00F67B69">
        <w:rPr>
          <w:lang w:val="fr-FR"/>
        </w:rPr>
        <w:t>subira continuellement des changements ou des ajouts</w:t>
      </w:r>
      <w:r w:rsidR="003D76CD">
        <w:rPr>
          <w:lang w:val="fr-FR"/>
        </w:rPr>
        <w:t xml:space="preserve"> </w:t>
      </w:r>
      <w:r w:rsidR="000D1B3C">
        <w:rPr>
          <w:lang w:val="fr-FR"/>
        </w:rPr>
        <w:t>afin de</w:t>
      </w:r>
      <w:r w:rsidR="009C0075">
        <w:rPr>
          <w:lang w:val="fr-FR"/>
        </w:rPr>
        <w:t xml:space="preserve"> rendre compte</w:t>
      </w:r>
      <w:r w:rsidR="00A652B1">
        <w:rPr>
          <w:lang w:val="fr-FR"/>
        </w:rPr>
        <w:t xml:space="preserve"> de toute nouvelle information qui serait disponible</w:t>
      </w:r>
      <w:r w:rsidR="004A3D5E">
        <w:rPr>
          <w:lang w:val="fr-FR"/>
        </w:rPr>
        <w:t xml:space="preserve">, </w:t>
      </w:r>
      <w:r w:rsidR="00E256E4">
        <w:rPr>
          <w:lang w:val="fr-FR"/>
        </w:rPr>
        <w:t xml:space="preserve">et </w:t>
      </w:r>
      <w:r w:rsidR="00BC7F98">
        <w:rPr>
          <w:lang w:val="fr-FR"/>
        </w:rPr>
        <w:t>reflètera l</w:t>
      </w:r>
      <w:r w:rsidR="00BC45D0">
        <w:rPr>
          <w:lang w:val="fr-FR"/>
        </w:rPr>
        <w:t>es be</w:t>
      </w:r>
      <w:r w:rsidR="005007CF">
        <w:rPr>
          <w:lang w:val="fr-FR"/>
        </w:rPr>
        <w:t xml:space="preserve">soins des communautés avec lesquelles vous travaillez et </w:t>
      </w:r>
      <w:r w:rsidR="00C05079">
        <w:rPr>
          <w:lang w:val="fr-FR"/>
        </w:rPr>
        <w:t>les</w:t>
      </w:r>
      <w:r w:rsidR="005007CF">
        <w:rPr>
          <w:lang w:val="fr-FR"/>
        </w:rPr>
        <w:t xml:space="preserve"> bonnes pratiques émergentes.</w:t>
      </w:r>
    </w:p>
    <w:p w14:paraId="0C3CC75A" w14:textId="6DE60CF2" w:rsidR="005007CF" w:rsidRPr="00C05079" w:rsidRDefault="00481BC9" w:rsidP="009A60CF">
      <w:pPr>
        <w:rPr>
          <w:i/>
          <w:iCs/>
          <w:lang w:val="fr-FR"/>
        </w:rPr>
      </w:pPr>
      <w:r w:rsidRPr="00C05079">
        <w:rPr>
          <w:i/>
          <w:iCs/>
          <w:lang w:val="fr-FR"/>
        </w:rPr>
        <w:t>Prendre soin de la santé mentale</w:t>
      </w:r>
    </w:p>
    <w:p w14:paraId="5DDE4F6C" w14:textId="025D4668" w:rsidR="00481BC9" w:rsidRDefault="002B4D45" w:rsidP="009A60CF">
      <w:pPr>
        <w:rPr>
          <w:lang w:val="fr-FR" w:bidi="ar-DZ"/>
        </w:rPr>
      </w:pPr>
      <w:r>
        <w:rPr>
          <w:lang w:val="fr-FR"/>
        </w:rPr>
        <w:t xml:space="preserve">Lorsque vous travaillez avec des </w:t>
      </w:r>
      <w:r w:rsidR="00CF3EC4">
        <w:rPr>
          <w:lang w:val="fr-FR"/>
        </w:rPr>
        <w:t>s</w:t>
      </w:r>
      <w:r>
        <w:rPr>
          <w:lang w:val="fr-FR"/>
        </w:rPr>
        <w:t>urvivants (</w:t>
      </w:r>
      <w:r w:rsidR="00CF3EC4">
        <w:rPr>
          <w:lang w:val="fr-FR"/>
        </w:rPr>
        <w:t xml:space="preserve">des </w:t>
      </w:r>
      <w:r>
        <w:rPr>
          <w:lang w:val="fr-FR"/>
        </w:rPr>
        <w:t>survivants des pensionnats et de</w:t>
      </w:r>
      <w:r w:rsidR="00D2496B">
        <w:rPr>
          <w:lang w:val="fr-FR"/>
        </w:rPr>
        <w:t xml:space="preserve"> la Rafle des anné</w:t>
      </w:r>
      <w:r w:rsidR="004228B3">
        <w:rPr>
          <w:lang w:val="fr-FR"/>
        </w:rPr>
        <w:t>es 60</w:t>
      </w:r>
      <w:r w:rsidR="005831EB">
        <w:rPr>
          <w:lang w:val="fr-FR"/>
        </w:rPr>
        <w:t xml:space="preserve"> par exemple</w:t>
      </w:r>
      <w:r w:rsidR="004228B3">
        <w:rPr>
          <w:lang w:val="fr-FR"/>
        </w:rPr>
        <w:t xml:space="preserve">), il est important </w:t>
      </w:r>
      <w:r w:rsidR="00E950A7">
        <w:rPr>
          <w:lang w:val="fr-FR"/>
        </w:rPr>
        <w:t>d’ê</w:t>
      </w:r>
      <w:r w:rsidR="0006140C">
        <w:rPr>
          <w:lang w:val="fr-FR"/>
        </w:rPr>
        <w:t xml:space="preserve">tre attentif </w:t>
      </w:r>
      <w:r w:rsidR="00E24DDB">
        <w:rPr>
          <w:lang w:val="fr-FR"/>
        </w:rPr>
        <w:t>lorsque vous demandez</w:t>
      </w:r>
      <w:r w:rsidR="00701109">
        <w:rPr>
          <w:lang w:val="fr-FR"/>
        </w:rPr>
        <w:t xml:space="preserve"> aux gens d’éduquer</w:t>
      </w:r>
      <w:r w:rsidR="00DF4622">
        <w:rPr>
          <w:lang w:val="fr-FR"/>
        </w:rPr>
        <w:t>/informer</w:t>
      </w:r>
      <w:r w:rsidR="00701109">
        <w:rPr>
          <w:lang w:val="fr-FR"/>
        </w:rPr>
        <w:t xml:space="preserve"> les autres</w:t>
      </w:r>
      <w:r w:rsidR="001F01A1">
        <w:rPr>
          <w:lang w:val="fr-FR"/>
        </w:rPr>
        <w:t xml:space="preserve"> en partageant leurs histoires personnelles. </w:t>
      </w:r>
      <w:r w:rsidR="00866355">
        <w:rPr>
          <w:lang w:val="fr-FR"/>
        </w:rPr>
        <w:t>Car r</w:t>
      </w:r>
      <w:r w:rsidR="001F01A1">
        <w:rPr>
          <w:lang w:val="fr-FR"/>
        </w:rPr>
        <w:t xml:space="preserve">evivre ces expériences et en discuter en public </w:t>
      </w:r>
      <w:r w:rsidR="003A1BE2">
        <w:rPr>
          <w:lang w:val="fr-FR"/>
        </w:rPr>
        <w:t xml:space="preserve">pourrait faire </w:t>
      </w:r>
      <w:r w:rsidR="00D2568F">
        <w:rPr>
          <w:lang w:val="fr-FR"/>
        </w:rPr>
        <w:t>rejaillir</w:t>
      </w:r>
      <w:r w:rsidR="00FA1B4D">
        <w:rPr>
          <w:lang w:val="fr-FR"/>
        </w:rPr>
        <w:t xml:space="preserve"> des trauma</w:t>
      </w:r>
      <w:r w:rsidR="00866355">
        <w:rPr>
          <w:lang w:val="fr-FR"/>
        </w:rPr>
        <w:t>tismes</w:t>
      </w:r>
      <w:r w:rsidR="00FA1B4D">
        <w:rPr>
          <w:lang w:val="fr-FR"/>
        </w:rPr>
        <w:t>.</w:t>
      </w:r>
      <w:r w:rsidR="00866355">
        <w:rPr>
          <w:lang w:val="fr-FR"/>
        </w:rPr>
        <w:t xml:space="preserve"> </w:t>
      </w:r>
      <w:r w:rsidR="008477AB">
        <w:rPr>
          <w:lang w:val="fr-FR"/>
        </w:rPr>
        <w:t>A</w:t>
      </w:r>
      <w:r w:rsidR="004E0BF3">
        <w:rPr>
          <w:lang w:val="fr-FR"/>
        </w:rPr>
        <w:t xml:space="preserve">vant de contacter </w:t>
      </w:r>
      <w:r w:rsidR="008F5D61">
        <w:rPr>
          <w:lang w:val="fr-FR"/>
        </w:rPr>
        <w:t xml:space="preserve">un survivant pour lui demander de parler à un événement ou </w:t>
      </w:r>
      <w:r w:rsidR="008477AB">
        <w:rPr>
          <w:lang w:val="fr-FR"/>
        </w:rPr>
        <w:t xml:space="preserve">de </w:t>
      </w:r>
      <w:r w:rsidR="008F5D61">
        <w:rPr>
          <w:lang w:val="fr-FR"/>
        </w:rPr>
        <w:t>partager son histoire</w:t>
      </w:r>
      <w:r w:rsidR="00B076C1">
        <w:rPr>
          <w:lang w:val="fr-FR"/>
        </w:rPr>
        <w:t xml:space="preserve"> comme partie du projet, </w:t>
      </w:r>
      <w:r w:rsidR="00CA21A3">
        <w:rPr>
          <w:lang w:val="fr-FR"/>
        </w:rPr>
        <w:t>effectuez</w:t>
      </w:r>
      <w:r w:rsidR="00B076C1">
        <w:rPr>
          <w:lang w:val="fr-FR"/>
        </w:rPr>
        <w:t xml:space="preserve"> </w:t>
      </w:r>
      <w:r w:rsidR="008477AB">
        <w:rPr>
          <w:lang w:val="fr-FR"/>
        </w:rPr>
        <w:t>votre</w:t>
      </w:r>
      <w:r w:rsidR="00B076C1">
        <w:rPr>
          <w:lang w:val="fr-FR"/>
        </w:rPr>
        <w:t xml:space="preserve"> recherche et </w:t>
      </w:r>
      <w:r w:rsidR="000B4B24">
        <w:rPr>
          <w:lang w:val="fr-FR"/>
        </w:rPr>
        <w:t xml:space="preserve">mettez en place </w:t>
      </w:r>
      <w:r w:rsidR="0051532B">
        <w:rPr>
          <w:lang w:val="fr-FR"/>
        </w:rPr>
        <w:t xml:space="preserve">un système de soutien afin de garantir que votre organisme travaille d’une </w:t>
      </w:r>
      <w:r w:rsidR="0051532B" w:rsidRPr="00CA21A3">
        <w:rPr>
          <w:b/>
          <w:bCs/>
          <w:lang w:val="fr-FR"/>
        </w:rPr>
        <w:t>perspective</w:t>
      </w:r>
      <w:r w:rsidR="00E050EE">
        <w:rPr>
          <w:lang w:val="fr-FR" w:bidi="ar-DZ"/>
        </w:rPr>
        <w:t xml:space="preserve"> </w:t>
      </w:r>
      <w:r w:rsidR="00E050EE" w:rsidRPr="008477AB">
        <w:rPr>
          <w:b/>
          <w:bCs/>
          <w:lang w:val="fr-FR" w:bidi="ar-DZ"/>
        </w:rPr>
        <w:t xml:space="preserve">tenant compte des </w:t>
      </w:r>
      <w:r w:rsidR="00AE5EC3" w:rsidRPr="008477AB">
        <w:rPr>
          <w:b/>
          <w:bCs/>
          <w:lang w:val="fr-FR" w:bidi="ar-DZ"/>
        </w:rPr>
        <w:t>traumatismes</w:t>
      </w:r>
      <w:r w:rsidR="00E07D29">
        <w:rPr>
          <w:lang w:val="fr-FR" w:bidi="ar-DZ"/>
        </w:rPr>
        <w:t xml:space="preserve">. L’association </w:t>
      </w:r>
      <w:r w:rsidR="00385CF6">
        <w:rPr>
          <w:lang w:val="fr-FR" w:bidi="ar-DZ"/>
        </w:rPr>
        <w:t xml:space="preserve">médicale canadienne et l’agence de santé publique du Canada offrent les ressources et les soutiens/support </w:t>
      </w:r>
      <w:r w:rsidR="00BC3C0C">
        <w:rPr>
          <w:lang w:val="fr-FR" w:bidi="ar-DZ"/>
        </w:rPr>
        <w:t>ci-après</w:t>
      </w:r>
      <w:r w:rsidR="00385CF6">
        <w:rPr>
          <w:lang w:val="fr-FR" w:bidi="ar-DZ"/>
        </w:rPr>
        <w:t> :</w:t>
      </w:r>
    </w:p>
    <w:p w14:paraId="110E2947" w14:textId="572F8A5D" w:rsidR="00385CF6" w:rsidRDefault="00AE5EC3" w:rsidP="00B014D1">
      <w:pPr>
        <w:rPr>
          <w:rStyle w:val="Hyperlink"/>
          <w:b/>
          <w:bCs/>
          <w:sz w:val="24"/>
          <w:szCs w:val="24"/>
        </w:rPr>
      </w:pPr>
      <w:r w:rsidRPr="00FF70BB">
        <w:rPr>
          <w:b/>
          <w:bCs/>
          <w:lang w:val="fr-FR" w:bidi="ar-DZ"/>
        </w:rPr>
        <w:t xml:space="preserve">Ressources et </w:t>
      </w:r>
      <w:r w:rsidR="00BC78EB" w:rsidRPr="00FF70BB">
        <w:rPr>
          <w:b/>
          <w:bCs/>
          <w:lang w:val="fr-FR" w:bidi="ar-DZ"/>
        </w:rPr>
        <w:t>mobilisation</w:t>
      </w:r>
      <w:r w:rsidRPr="00FF70BB">
        <w:rPr>
          <w:b/>
          <w:bCs/>
          <w:lang w:val="fr-FR" w:bidi="ar-DZ"/>
        </w:rPr>
        <w:t xml:space="preserve"> tenant compte des traumatismes</w:t>
      </w:r>
      <w:r>
        <w:rPr>
          <w:lang w:val="fr-FR" w:bidi="ar-DZ"/>
        </w:rPr>
        <w:t xml:space="preserve"> : </w:t>
      </w:r>
      <w:hyperlink r:id="rId8" w:history="1">
        <w:r w:rsidR="00B014D1" w:rsidRPr="00B014D1">
          <w:rPr>
            <w:rStyle w:val="Hyperlink"/>
            <w:lang w:bidi="ar-DZ"/>
          </w:rPr>
          <w:t>Guide du groupe Voix des patients à l'AMC : Approche axée sur les traumatismes et ressources (cma.ca)</w:t>
        </w:r>
      </w:hyperlink>
    </w:p>
    <w:p w14:paraId="5CBD23B5" w14:textId="7F708C85" w:rsidR="0027100E" w:rsidRDefault="001773B3" w:rsidP="00323ED9">
      <w:pPr>
        <w:rPr>
          <w:rStyle w:val="Hyperlink"/>
          <w:b/>
          <w:bCs/>
          <w:sz w:val="24"/>
          <w:szCs w:val="24"/>
        </w:rPr>
      </w:pPr>
      <w:r w:rsidRPr="00007947">
        <w:rPr>
          <w:b/>
          <w:bCs/>
          <w:lang w:val="fr-FR" w:bidi="ar-DZ"/>
        </w:rPr>
        <w:lastRenderedPageBreak/>
        <w:t>A</w:t>
      </w:r>
      <w:r w:rsidR="00B56A26" w:rsidRPr="00B56A26">
        <w:rPr>
          <w:b/>
          <w:bCs/>
          <w:sz w:val="24"/>
          <w:szCs w:val="24"/>
        </w:rPr>
        <w:t xml:space="preserve"> </w:t>
      </w:r>
      <w:r w:rsidR="00B56A26" w:rsidRPr="005B0D90">
        <w:rPr>
          <w:b/>
          <w:bCs/>
          <w:sz w:val="24"/>
          <w:szCs w:val="24"/>
        </w:rPr>
        <w:t>Approches tenant compte des traumatismes et de la violence</w:t>
      </w:r>
      <w:r w:rsidR="00B56A26">
        <w:rPr>
          <w:b/>
          <w:bCs/>
          <w:sz w:val="24"/>
          <w:szCs w:val="24"/>
        </w:rPr>
        <w:t xml:space="preserve"> </w:t>
      </w:r>
      <w:r w:rsidR="00F83D97">
        <w:rPr>
          <w:b/>
          <w:bCs/>
          <w:sz w:val="24"/>
          <w:szCs w:val="24"/>
        </w:rPr>
        <w:t>–</w:t>
      </w:r>
      <w:r w:rsidR="00B56A26">
        <w:rPr>
          <w:b/>
          <w:bCs/>
          <w:sz w:val="24"/>
          <w:szCs w:val="24"/>
        </w:rPr>
        <w:t xml:space="preserve"> politique</w:t>
      </w:r>
      <w:r w:rsidR="00F83D97">
        <w:rPr>
          <w:b/>
          <w:bCs/>
          <w:sz w:val="24"/>
          <w:szCs w:val="24"/>
        </w:rPr>
        <w:t>s et pratiques</w:t>
      </w:r>
      <w:r w:rsidR="002113E1">
        <w:rPr>
          <w:lang w:val="fr-FR" w:bidi="ar-DZ"/>
        </w:rPr>
        <w:t> :</w:t>
      </w:r>
      <w:r w:rsidR="00227FC0" w:rsidRPr="00227FC0">
        <w:t xml:space="preserve"> </w:t>
      </w:r>
      <w:hyperlink r:id="rId9" w:history="1">
        <w:r w:rsidR="00323ED9" w:rsidRPr="00323ED9">
          <w:rPr>
            <w:rStyle w:val="Hyperlink"/>
          </w:rPr>
          <w:t>Approches tenant compte des traumatismes et de la violence – politiques et pratiques - Canada.ca</w:t>
        </w:r>
      </w:hyperlink>
    </w:p>
    <w:p w14:paraId="4F428268" w14:textId="78FE2E3A" w:rsidR="0004443C" w:rsidRDefault="00AE6227" w:rsidP="009A60CF">
      <w:pPr>
        <w:rPr>
          <w:lang w:val="fr-FR" w:bidi="ar-DZ"/>
        </w:rPr>
      </w:pPr>
      <w:r>
        <w:rPr>
          <w:lang w:val="fr-FR" w:bidi="ar-DZ"/>
        </w:rPr>
        <w:t xml:space="preserve">Plusieurs groupes et organismes culturels </w:t>
      </w:r>
      <w:r w:rsidR="00DB6BDB">
        <w:rPr>
          <w:lang w:val="fr-FR" w:bidi="ar-DZ"/>
        </w:rPr>
        <w:t xml:space="preserve">autochtones </w:t>
      </w:r>
      <w:r>
        <w:rPr>
          <w:lang w:val="fr-FR" w:bidi="ar-DZ"/>
        </w:rPr>
        <w:t xml:space="preserve">ont des </w:t>
      </w:r>
      <w:r w:rsidRPr="007A7ED7">
        <w:rPr>
          <w:b/>
          <w:bCs/>
          <w:lang w:val="fr-FR" w:bidi="ar-DZ"/>
        </w:rPr>
        <w:t xml:space="preserve">bureaux </w:t>
      </w:r>
      <w:r w:rsidR="002B52F5" w:rsidRPr="007A7ED7">
        <w:rPr>
          <w:b/>
          <w:bCs/>
          <w:lang w:val="fr-FR" w:bidi="ar-DZ"/>
        </w:rPr>
        <w:t>des conférenciers</w:t>
      </w:r>
      <w:r>
        <w:rPr>
          <w:lang w:val="fr-FR" w:bidi="ar-DZ"/>
        </w:rPr>
        <w:t xml:space="preserve"> où </w:t>
      </w:r>
      <w:r w:rsidR="00B13AD4">
        <w:rPr>
          <w:lang w:val="fr-FR" w:bidi="ar-DZ"/>
        </w:rPr>
        <w:t>vous pourrez</w:t>
      </w:r>
      <w:r w:rsidR="00847049">
        <w:rPr>
          <w:lang w:val="fr-FR" w:bidi="ar-DZ"/>
        </w:rPr>
        <w:t xml:space="preserve"> rencontrer/communiquer avec des </w:t>
      </w:r>
      <w:r w:rsidR="006C20BB">
        <w:rPr>
          <w:lang w:val="fr-FR" w:bidi="ar-DZ"/>
        </w:rPr>
        <w:t xml:space="preserve">populations </w:t>
      </w:r>
      <w:r w:rsidR="00847049">
        <w:rPr>
          <w:lang w:val="fr-FR" w:bidi="ar-DZ"/>
        </w:rPr>
        <w:t xml:space="preserve">autochtones qui ont de l’expérience dans la prise de parole en public et </w:t>
      </w:r>
      <w:r w:rsidR="006C20BB">
        <w:rPr>
          <w:lang w:val="fr-FR" w:bidi="ar-DZ"/>
        </w:rPr>
        <w:t xml:space="preserve">qui </w:t>
      </w:r>
      <w:r w:rsidR="00847049">
        <w:rPr>
          <w:lang w:val="fr-FR" w:bidi="ar-DZ"/>
        </w:rPr>
        <w:t>sont plus</w:t>
      </w:r>
      <w:r w:rsidR="00F553A6">
        <w:rPr>
          <w:lang w:val="fr-FR" w:bidi="ar-DZ"/>
        </w:rPr>
        <w:t xml:space="preserve"> habitués à discuter </w:t>
      </w:r>
      <w:r w:rsidR="00D372F9">
        <w:rPr>
          <w:lang w:val="fr-FR" w:bidi="ar-DZ"/>
        </w:rPr>
        <w:t>d’histoires de vie douloureuses et sensibles dans un cadre éducationnel.</w:t>
      </w:r>
    </w:p>
    <w:p w14:paraId="34F9E6E0" w14:textId="582193D2" w:rsidR="00D372F9" w:rsidRDefault="00626605" w:rsidP="009A60CF">
      <w:pPr>
        <w:rPr>
          <w:lang w:val="fr-FR" w:bidi="ar-DZ"/>
        </w:rPr>
      </w:pPr>
      <w:r>
        <w:rPr>
          <w:lang w:val="fr-FR" w:bidi="ar-DZ"/>
        </w:rPr>
        <w:t>Lorsque vous travaillez avec des survivants des pensionnats,</w:t>
      </w:r>
      <w:r w:rsidR="00BD046A">
        <w:rPr>
          <w:lang w:val="fr-FR" w:bidi="ar-DZ"/>
        </w:rPr>
        <w:t xml:space="preserve"> il est de bonne pratique d’avoir un soutien à la santé mentale disponible pendant la planification et l</w:t>
      </w:r>
      <w:r w:rsidR="00174C30">
        <w:rPr>
          <w:lang w:val="fr-FR" w:bidi="ar-DZ"/>
        </w:rPr>
        <w:t xml:space="preserve">e déroulement d’un événement ou d’un projet. </w:t>
      </w:r>
    </w:p>
    <w:p w14:paraId="2EC09C10" w14:textId="03FEA8DE" w:rsidR="00D372F9" w:rsidRDefault="008E7A25" w:rsidP="008E7A25">
      <w:pPr>
        <w:rPr>
          <w:lang w:bidi="ar-DZ"/>
        </w:rPr>
      </w:pPr>
      <w:r w:rsidRPr="008E7A25">
        <w:rPr>
          <w:lang w:bidi="ar-DZ"/>
        </w:rPr>
        <w:t xml:space="preserve">Le </w:t>
      </w:r>
      <w:r w:rsidRPr="00E34F39">
        <w:rPr>
          <w:b/>
          <w:bCs/>
          <w:lang w:bidi="ar-DZ"/>
        </w:rPr>
        <w:t>Programme de soutien en santé - résolution des questions des pensionnats indiens</w:t>
      </w:r>
      <w:r w:rsidR="00322F05">
        <w:rPr>
          <w:lang w:bidi="ar-DZ"/>
        </w:rPr>
        <w:t xml:space="preserve">, </w:t>
      </w:r>
      <w:r w:rsidRPr="008E7A25">
        <w:rPr>
          <w:lang w:bidi="ar-DZ"/>
        </w:rPr>
        <w:t>a été créé dans le cadre de la Convention de règlement relative aux pensionnats indiens de 2006. Il offre un soutien culturel et émotionnel, ainsi que des services de consultation en santé mentale aux survivants des pensionnats et aux familles des anciens élèves</w:t>
      </w:r>
      <w:r>
        <w:rPr>
          <w:lang w:bidi="ar-DZ"/>
        </w:rPr>
        <w:t>.</w:t>
      </w:r>
      <w:r w:rsidR="00CC3DA2">
        <w:rPr>
          <w:lang w:bidi="ar-DZ"/>
        </w:rPr>
        <w:t xml:space="preserve"> Ces services </w:t>
      </w:r>
      <w:r w:rsidR="00D61B99">
        <w:rPr>
          <w:lang w:bidi="ar-DZ"/>
        </w:rPr>
        <w:t>sont offerts par des travailleurs formés</w:t>
      </w:r>
      <w:r w:rsidR="000B3D5E">
        <w:rPr>
          <w:lang w:bidi="ar-DZ"/>
        </w:rPr>
        <w:t xml:space="preserve"> du programme de soutien en santé : résolution des questions des pensionnats. Beaucoup d’entre eux sont </w:t>
      </w:r>
      <w:r w:rsidR="001048B5">
        <w:rPr>
          <w:lang w:bidi="ar-DZ"/>
        </w:rPr>
        <w:t xml:space="preserve">eux-mêmes </w:t>
      </w:r>
      <w:r w:rsidR="000B3D5E">
        <w:rPr>
          <w:lang w:bidi="ar-DZ"/>
        </w:rPr>
        <w:t>des survivants des pensionnats ou</w:t>
      </w:r>
      <w:r w:rsidR="006F0B4B">
        <w:rPr>
          <w:lang w:bidi="ar-DZ"/>
        </w:rPr>
        <w:t xml:space="preserve"> ont été </w:t>
      </w:r>
      <w:r w:rsidR="000E2FD0">
        <w:rPr>
          <w:lang w:bidi="ar-DZ"/>
        </w:rPr>
        <w:t>affectés</w:t>
      </w:r>
      <w:r w:rsidR="006F0B4B">
        <w:rPr>
          <w:lang w:bidi="ar-DZ"/>
        </w:rPr>
        <w:t xml:space="preserve"> par les effets intergénérationnels de </w:t>
      </w:r>
      <w:r w:rsidR="008F44D7">
        <w:rPr>
          <w:lang w:bidi="ar-DZ"/>
        </w:rPr>
        <w:t>la maltraitance</w:t>
      </w:r>
      <w:r w:rsidR="006F0B4B">
        <w:rPr>
          <w:lang w:bidi="ar-DZ"/>
        </w:rPr>
        <w:t xml:space="preserve"> et de la violence </w:t>
      </w:r>
      <w:r w:rsidR="00351239">
        <w:rPr>
          <w:lang w:bidi="ar-DZ"/>
        </w:rPr>
        <w:t>perpétrée</w:t>
      </w:r>
      <w:r w:rsidR="008F44D7">
        <w:rPr>
          <w:lang w:bidi="ar-DZ"/>
        </w:rPr>
        <w:t>s</w:t>
      </w:r>
      <w:r w:rsidR="00351239">
        <w:rPr>
          <w:lang w:bidi="ar-DZ"/>
        </w:rPr>
        <w:t>.</w:t>
      </w:r>
    </w:p>
    <w:p w14:paraId="57289BAE" w14:textId="47774A8D" w:rsidR="00351239" w:rsidRDefault="00175914" w:rsidP="00DB1149">
      <w:pPr>
        <w:rPr>
          <w:lang w:val="fr-FR" w:bidi="ar-DZ"/>
        </w:rPr>
      </w:pPr>
      <w:r>
        <w:rPr>
          <w:lang w:val="fr-FR" w:bidi="ar-DZ"/>
        </w:rPr>
        <w:t>Pour plus d’information sur le programme e</w:t>
      </w:r>
      <w:r w:rsidR="006619F2">
        <w:rPr>
          <w:lang w:val="fr-FR" w:bidi="ar-DZ"/>
        </w:rPr>
        <w:t xml:space="preserve">t sur comment y </w:t>
      </w:r>
      <w:r w:rsidR="00A80E74">
        <w:rPr>
          <w:lang w:val="fr-FR" w:bidi="ar-DZ"/>
        </w:rPr>
        <w:t>avoir</w:t>
      </w:r>
      <w:r w:rsidR="006619F2">
        <w:rPr>
          <w:lang w:val="fr-FR" w:bidi="ar-DZ"/>
        </w:rPr>
        <w:t xml:space="preserve"> accès dans votre </w:t>
      </w:r>
      <w:r w:rsidR="00BC1EB7">
        <w:rPr>
          <w:lang w:val="fr-FR" w:bidi="ar-DZ"/>
        </w:rPr>
        <w:t>zone, consultez le site du gouvernement du Canada ici</w:t>
      </w:r>
      <w:r w:rsidR="00DB1149">
        <w:rPr>
          <w:lang w:val="fr-FR" w:bidi="ar-DZ"/>
        </w:rPr>
        <w:t xml:space="preserve"> : </w:t>
      </w:r>
      <w:hyperlink r:id="rId10" w:history="1">
        <w:r w:rsidR="00DB1149" w:rsidRPr="00DB1149">
          <w:rPr>
            <w:rStyle w:val="Hyperlink"/>
            <w:lang w:bidi="ar-DZ"/>
          </w:rPr>
          <w:t>Programme de soutien en santé : résolution des questions des pensionnats indiens (sac-isc.gc.ca)</w:t>
        </w:r>
      </w:hyperlink>
    </w:p>
    <w:p w14:paraId="11E5E903" w14:textId="3A6AEF81" w:rsidR="00DB1149" w:rsidRDefault="00DB1149" w:rsidP="00DB1149">
      <w:pPr>
        <w:rPr>
          <w:lang w:val="fr-FR" w:bidi="ar-DZ"/>
        </w:rPr>
      </w:pPr>
      <w:r>
        <w:rPr>
          <w:lang w:val="fr-FR" w:bidi="ar-DZ"/>
        </w:rPr>
        <w:t xml:space="preserve">Quelques provinces, dont la Colombie Britannique, l’Alberta et le Manitoba, </w:t>
      </w:r>
      <w:r w:rsidR="00616604">
        <w:rPr>
          <w:lang w:val="fr-FR" w:bidi="ar-DZ"/>
        </w:rPr>
        <w:t>gardent leur</w:t>
      </w:r>
      <w:r w:rsidR="00BF0A6C">
        <w:rPr>
          <w:lang w:val="fr-FR" w:bidi="ar-DZ"/>
        </w:rPr>
        <w:t xml:space="preserve"> </w:t>
      </w:r>
      <w:r w:rsidR="00084D5C">
        <w:rPr>
          <w:lang w:val="fr-FR" w:bidi="ar-DZ"/>
        </w:rPr>
        <w:t xml:space="preserve">ligne </w:t>
      </w:r>
      <w:r w:rsidR="00897402">
        <w:rPr>
          <w:lang w:val="fr-FR" w:bidi="ar-DZ"/>
        </w:rPr>
        <w:t>d’écoute concernant</w:t>
      </w:r>
      <w:r w:rsidR="001401FC">
        <w:rPr>
          <w:lang w:val="fr-FR" w:bidi="ar-DZ"/>
        </w:rPr>
        <w:t xml:space="preserve"> les pensionnats indiens</w:t>
      </w:r>
      <w:r w:rsidR="004C42EC">
        <w:rPr>
          <w:lang w:val="fr-FR" w:bidi="ar-DZ"/>
        </w:rPr>
        <w:t xml:space="preserve"> disponible</w:t>
      </w:r>
      <w:r w:rsidR="00BF0A6C">
        <w:rPr>
          <w:lang w:val="fr-FR" w:bidi="ar-DZ"/>
        </w:rPr>
        <w:t xml:space="preserve"> 24h</w:t>
      </w:r>
      <w:r w:rsidR="00084D5C">
        <w:rPr>
          <w:lang w:val="fr-FR" w:bidi="ar-DZ"/>
        </w:rPr>
        <w:t>/24</w:t>
      </w:r>
      <w:r w:rsidR="00BF0A6C">
        <w:rPr>
          <w:lang w:val="fr-FR" w:bidi="ar-DZ"/>
        </w:rPr>
        <w:t>.</w:t>
      </w:r>
    </w:p>
    <w:p w14:paraId="729CE938" w14:textId="0949EB05" w:rsidR="00B13A23" w:rsidRPr="00DD229D" w:rsidRDefault="00B13A23" w:rsidP="00B13A23">
      <w:pPr>
        <w:rPr>
          <w:i/>
          <w:iCs/>
          <w:lang w:val="fr-FR" w:bidi="ar-DZ"/>
        </w:rPr>
      </w:pPr>
      <w:r w:rsidRPr="00DD229D">
        <w:rPr>
          <w:i/>
          <w:iCs/>
          <w:lang w:val="fr-FR" w:bidi="ar-DZ"/>
        </w:rPr>
        <w:t xml:space="preserve">Autres </w:t>
      </w:r>
      <w:r w:rsidR="003744F5">
        <w:rPr>
          <w:i/>
          <w:iCs/>
          <w:lang w:val="fr-FR" w:bidi="ar-DZ"/>
        </w:rPr>
        <w:t>suggestions</w:t>
      </w:r>
      <w:r w:rsidRPr="00DD229D">
        <w:rPr>
          <w:i/>
          <w:iCs/>
          <w:lang w:val="fr-FR" w:bidi="ar-DZ"/>
        </w:rPr>
        <w:t xml:space="preserve"> pour travailler avec les survivants, les ainés et les </w:t>
      </w:r>
      <w:r w:rsidR="00DD229D" w:rsidRPr="00DD229D">
        <w:rPr>
          <w:i/>
          <w:iCs/>
          <w:lang w:val="fr-FR" w:bidi="ar-DZ"/>
        </w:rPr>
        <w:t>g</w:t>
      </w:r>
      <w:r w:rsidRPr="00DD229D">
        <w:rPr>
          <w:i/>
          <w:iCs/>
          <w:lang w:val="fr-FR" w:bidi="ar-DZ"/>
        </w:rPr>
        <w:t>ardiens du savoir :</w:t>
      </w:r>
    </w:p>
    <w:p w14:paraId="08387428" w14:textId="70AF4D09" w:rsidR="00B13A23" w:rsidRDefault="00D059F9" w:rsidP="00801D5C">
      <w:pPr>
        <w:pStyle w:val="ListParagraph"/>
        <w:numPr>
          <w:ilvl w:val="0"/>
          <w:numId w:val="3"/>
        </w:numPr>
        <w:rPr>
          <w:lang w:val="fr-FR" w:bidi="ar-DZ"/>
        </w:rPr>
      </w:pPr>
      <w:r>
        <w:rPr>
          <w:lang w:val="fr-FR" w:bidi="ar-DZ"/>
        </w:rPr>
        <w:t xml:space="preserve">Il est de bonne pratique </w:t>
      </w:r>
      <w:r w:rsidR="00C102A4">
        <w:rPr>
          <w:lang w:val="fr-FR" w:bidi="ar-DZ"/>
        </w:rPr>
        <w:t xml:space="preserve">d’offrir un présent à la personne à qui vous demandez de </w:t>
      </w:r>
      <w:r w:rsidR="00F20513">
        <w:rPr>
          <w:lang w:val="fr-FR" w:bidi="ar-DZ"/>
        </w:rPr>
        <w:t>participer à</w:t>
      </w:r>
      <w:r w:rsidR="00C102A4">
        <w:rPr>
          <w:lang w:val="fr-FR" w:bidi="ar-DZ"/>
        </w:rPr>
        <w:t xml:space="preserve"> votre initiative. </w:t>
      </w:r>
      <w:r w:rsidR="006D0886">
        <w:rPr>
          <w:lang w:val="fr-FR" w:bidi="ar-DZ"/>
        </w:rPr>
        <w:t xml:space="preserve">Ce qui </w:t>
      </w:r>
      <w:r w:rsidR="00D37100">
        <w:rPr>
          <w:lang w:val="fr-FR" w:bidi="ar-DZ"/>
        </w:rPr>
        <w:t>définit</w:t>
      </w:r>
      <w:r w:rsidR="006D0886">
        <w:rPr>
          <w:lang w:val="fr-FR" w:bidi="ar-DZ"/>
        </w:rPr>
        <w:t xml:space="preserve"> un</w:t>
      </w:r>
      <w:r w:rsidR="007B7664">
        <w:rPr>
          <w:lang w:val="fr-FR" w:bidi="ar-DZ"/>
        </w:rPr>
        <w:t xml:space="preserve"> présent culturellement approprié </w:t>
      </w:r>
      <w:r w:rsidR="00270FB5">
        <w:rPr>
          <w:lang w:val="fr-FR" w:bidi="ar-DZ"/>
        </w:rPr>
        <w:t xml:space="preserve">diffère d’une culture autochtone à l’autre. Vous devrez </w:t>
      </w:r>
      <w:r w:rsidR="005A4404">
        <w:rPr>
          <w:lang w:val="fr-FR" w:bidi="ar-DZ"/>
        </w:rPr>
        <w:t>effectuer</w:t>
      </w:r>
      <w:r w:rsidR="00270FB5">
        <w:rPr>
          <w:lang w:val="fr-FR" w:bidi="ar-DZ"/>
        </w:rPr>
        <w:t xml:space="preserve"> votre recherche et déterminer </w:t>
      </w:r>
      <w:r w:rsidR="00F20513">
        <w:rPr>
          <w:lang w:val="fr-FR" w:bidi="ar-DZ"/>
        </w:rPr>
        <w:t>la marche à suivre</w:t>
      </w:r>
      <w:r w:rsidR="003464B3">
        <w:rPr>
          <w:lang w:val="fr-FR" w:bidi="ar-DZ"/>
        </w:rPr>
        <w:t xml:space="preserve"> </w:t>
      </w:r>
      <w:r w:rsidR="0011459B">
        <w:rPr>
          <w:lang w:val="fr-FR" w:bidi="ar-DZ"/>
        </w:rPr>
        <w:t>dans le contexte de votre zone géographique et de l’initiative que vous avez planifié.</w:t>
      </w:r>
    </w:p>
    <w:p w14:paraId="44F52597" w14:textId="6883D53C" w:rsidR="0011459B" w:rsidRDefault="00732C0E" w:rsidP="00801D5C">
      <w:pPr>
        <w:pStyle w:val="ListParagraph"/>
        <w:numPr>
          <w:ilvl w:val="0"/>
          <w:numId w:val="3"/>
        </w:numPr>
        <w:rPr>
          <w:lang w:val="fr-FR" w:bidi="ar-DZ"/>
        </w:rPr>
      </w:pPr>
      <w:r>
        <w:rPr>
          <w:lang w:val="fr-FR" w:bidi="ar-DZ"/>
        </w:rPr>
        <w:t xml:space="preserve">Offrir une rémunération </w:t>
      </w:r>
      <w:r w:rsidR="006172B5">
        <w:rPr>
          <w:lang w:val="fr-FR" w:bidi="ar-DZ"/>
        </w:rPr>
        <w:t xml:space="preserve">en espèce </w:t>
      </w:r>
      <w:r>
        <w:rPr>
          <w:lang w:val="fr-FR" w:bidi="ar-DZ"/>
        </w:rPr>
        <w:t xml:space="preserve">est une bonne pratique. </w:t>
      </w:r>
      <w:r w:rsidR="00F461A0">
        <w:rPr>
          <w:lang w:val="fr-FR" w:bidi="ar-DZ"/>
        </w:rPr>
        <w:t xml:space="preserve">Différents montants peuvent être offerts dépendamment </w:t>
      </w:r>
      <w:r w:rsidR="00E1734B">
        <w:rPr>
          <w:lang w:val="fr-FR" w:bidi="ar-DZ"/>
        </w:rPr>
        <w:t xml:space="preserve">du temps et de l’énergie que vous </w:t>
      </w:r>
      <w:r w:rsidR="00D40820">
        <w:rPr>
          <w:lang w:val="fr-FR" w:bidi="ar-DZ"/>
        </w:rPr>
        <w:t>souhaitez</w:t>
      </w:r>
      <w:r w:rsidR="00E1734B">
        <w:rPr>
          <w:lang w:val="fr-FR" w:bidi="ar-DZ"/>
        </w:rPr>
        <w:t xml:space="preserve"> </w:t>
      </w:r>
      <w:r w:rsidR="00D40820">
        <w:rPr>
          <w:lang w:val="fr-FR" w:bidi="ar-DZ"/>
        </w:rPr>
        <w:t>que</w:t>
      </w:r>
      <w:r w:rsidR="00E1734B">
        <w:rPr>
          <w:lang w:val="fr-FR" w:bidi="ar-DZ"/>
        </w:rPr>
        <w:t xml:space="preserve"> la personne </w:t>
      </w:r>
      <w:r w:rsidR="00D40820">
        <w:rPr>
          <w:lang w:val="fr-FR" w:bidi="ar-DZ"/>
        </w:rPr>
        <w:t>consacre à</w:t>
      </w:r>
      <w:r w:rsidR="00E1734B">
        <w:rPr>
          <w:lang w:val="fr-FR" w:bidi="ar-DZ"/>
        </w:rPr>
        <w:t xml:space="preserve"> votre initiative. </w:t>
      </w:r>
      <w:r w:rsidR="00303B85">
        <w:rPr>
          <w:lang w:val="fr-FR" w:bidi="ar-DZ"/>
        </w:rPr>
        <w:t xml:space="preserve">Pour des informations concernant les </w:t>
      </w:r>
      <w:r w:rsidR="00792693">
        <w:rPr>
          <w:lang w:val="fr-FR" w:bidi="ar-DZ"/>
        </w:rPr>
        <w:t>rémunérations standard</w:t>
      </w:r>
      <w:r w:rsidR="00303B85">
        <w:rPr>
          <w:lang w:val="fr-FR" w:bidi="ar-DZ"/>
        </w:rPr>
        <w:t xml:space="preserve"> dans votre </w:t>
      </w:r>
      <w:r w:rsidR="00792693">
        <w:rPr>
          <w:lang w:val="fr-FR" w:bidi="ar-DZ"/>
        </w:rPr>
        <w:t>secteur</w:t>
      </w:r>
      <w:r w:rsidR="00303B85">
        <w:rPr>
          <w:lang w:val="fr-FR" w:bidi="ar-DZ"/>
        </w:rPr>
        <w:t xml:space="preserve">, vous pouvez communiquer avec </w:t>
      </w:r>
      <w:r w:rsidR="00F63475">
        <w:rPr>
          <w:lang w:val="fr-FR" w:bidi="ar-DZ"/>
        </w:rPr>
        <w:t>un organisme géré par des autochtones.</w:t>
      </w:r>
    </w:p>
    <w:p w14:paraId="447937BE" w14:textId="04C1E245" w:rsidR="00F63475" w:rsidRDefault="00F63475" w:rsidP="00801D5C">
      <w:pPr>
        <w:pStyle w:val="ListParagraph"/>
        <w:numPr>
          <w:ilvl w:val="0"/>
          <w:numId w:val="3"/>
        </w:numPr>
        <w:rPr>
          <w:lang w:val="fr-FR" w:bidi="ar-DZ"/>
        </w:rPr>
      </w:pPr>
      <w:r>
        <w:rPr>
          <w:lang w:val="fr-FR" w:bidi="ar-DZ"/>
        </w:rPr>
        <w:lastRenderedPageBreak/>
        <w:t xml:space="preserve">Offrir des fonds pour couvrir les frais de transport est une bonne pratique lorsque vous travaillez avec des </w:t>
      </w:r>
      <w:r w:rsidR="007C65BD">
        <w:rPr>
          <w:lang w:val="fr-FR" w:bidi="ar-DZ"/>
        </w:rPr>
        <w:t>s</w:t>
      </w:r>
      <w:r>
        <w:rPr>
          <w:lang w:val="fr-FR" w:bidi="ar-DZ"/>
        </w:rPr>
        <w:t xml:space="preserve">urvivants, </w:t>
      </w:r>
      <w:r w:rsidR="00110B38">
        <w:rPr>
          <w:lang w:val="fr-FR" w:bidi="ar-DZ"/>
        </w:rPr>
        <w:t xml:space="preserve">que ce </w:t>
      </w:r>
      <w:r w:rsidR="00C27351">
        <w:rPr>
          <w:lang w:val="fr-FR" w:bidi="ar-DZ"/>
        </w:rPr>
        <w:t>soient</w:t>
      </w:r>
      <w:r w:rsidR="00110B38">
        <w:rPr>
          <w:lang w:val="fr-FR" w:bidi="ar-DZ"/>
        </w:rPr>
        <w:t xml:space="preserve"> </w:t>
      </w:r>
      <w:r w:rsidR="00232CDE">
        <w:rPr>
          <w:lang w:val="fr-FR" w:bidi="ar-DZ"/>
        </w:rPr>
        <w:t xml:space="preserve">des frais de </w:t>
      </w:r>
      <w:r w:rsidR="00534096">
        <w:rPr>
          <w:lang w:val="fr-FR" w:bidi="ar-DZ"/>
        </w:rPr>
        <w:t>route</w:t>
      </w:r>
      <w:r w:rsidR="00232CDE">
        <w:rPr>
          <w:lang w:val="fr-FR" w:bidi="ar-DZ"/>
        </w:rPr>
        <w:t xml:space="preserve"> ou un remboursement de frais de taxi.</w:t>
      </w:r>
    </w:p>
    <w:p w14:paraId="6C4A6C3E" w14:textId="46ED7770" w:rsidR="00232CDE" w:rsidRPr="00801D5C" w:rsidRDefault="00232CDE" w:rsidP="00801D5C">
      <w:pPr>
        <w:pStyle w:val="ListParagraph"/>
        <w:numPr>
          <w:ilvl w:val="0"/>
          <w:numId w:val="3"/>
        </w:numPr>
        <w:rPr>
          <w:lang w:val="fr-FR" w:bidi="ar-DZ"/>
        </w:rPr>
      </w:pPr>
      <w:r>
        <w:rPr>
          <w:lang w:val="fr-FR" w:bidi="ar-DZ"/>
        </w:rPr>
        <w:t xml:space="preserve">Si un repas est </w:t>
      </w:r>
      <w:r w:rsidR="00B32E44">
        <w:rPr>
          <w:lang w:val="fr-FR" w:bidi="ar-DZ"/>
        </w:rPr>
        <w:t>offert</w:t>
      </w:r>
      <w:r>
        <w:rPr>
          <w:lang w:val="fr-FR" w:bidi="ar-DZ"/>
        </w:rPr>
        <w:t xml:space="preserve"> à un événement, </w:t>
      </w:r>
      <w:r w:rsidR="000C1622">
        <w:rPr>
          <w:lang w:val="fr-FR" w:bidi="ar-DZ"/>
        </w:rPr>
        <w:t>vous devrez inviter votre</w:t>
      </w:r>
      <w:r w:rsidR="00B6711A">
        <w:rPr>
          <w:lang w:val="fr-FR" w:bidi="ar-DZ"/>
        </w:rPr>
        <w:t xml:space="preserve"> partenaire autochtone </w:t>
      </w:r>
      <w:r w:rsidR="000C1622">
        <w:rPr>
          <w:lang w:val="fr-FR" w:bidi="ar-DZ"/>
        </w:rPr>
        <w:t xml:space="preserve">même si leur </w:t>
      </w:r>
      <w:r w:rsidR="00B32E44">
        <w:rPr>
          <w:lang w:val="fr-FR" w:bidi="ar-DZ"/>
        </w:rPr>
        <w:t>rôle</w:t>
      </w:r>
      <w:r w:rsidR="000C1622">
        <w:rPr>
          <w:lang w:val="fr-FR" w:bidi="ar-DZ"/>
        </w:rPr>
        <w:t xml:space="preserve"> dans votre événement </w:t>
      </w:r>
      <w:r w:rsidR="001F25EC">
        <w:rPr>
          <w:lang w:val="fr-FR" w:bidi="ar-DZ"/>
        </w:rPr>
        <w:t>a pris fin.</w:t>
      </w:r>
    </w:p>
    <w:p w14:paraId="3E925C62" w14:textId="77777777" w:rsidR="007C4F52" w:rsidRPr="00E050EE" w:rsidRDefault="007C4F52" w:rsidP="009A60CF">
      <w:pPr>
        <w:rPr>
          <w:lang w:val="fr-FR" w:bidi="ar-DZ"/>
        </w:rPr>
      </w:pPr>
    </w:p>
    <w:p w14:paraId="6002F317" w14:textId="77777777" w:rsidR="00834A04" w:rsidRDefault="00834A04">
      <w:pPr>
        <w:rPr>
          <w:lang w:val="fr-FR"/>
        </w:rPr>
      </w:pPr>
    </w:p>
    <w:p w14:paraId="39A923B2" w14:textId="77777777" w:rsidR="00834A04" w:rsidRPr="00A05954" w:rsidRDefault="00834A04">
      <w:pPr>
        <w:rPr>
          <w:lang w:val="fr-FR"/>
        </w:rPr>
      </w:pPr>
    </w:p>
    <w:sectPr w:rsidR="00834A04" w:rsidRPr="00A05954">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E657" w14:textId="77777777" w:rsidR="00E70ED5" w:rsidRDefault="00E70ED5" w:rsidP="00E70ED5">
      <w:pPr>
        <w:spacing w:after="0" w:line="240" w:lineRule="auto"/>
      </w:pPr>
      <w:r>
        <w:separator/>
      </w:r>
    </w:p>
  </w:endnote>
  <w:endnote w:type="continuationSeparator" w:id="0">
    <w:p w14:paraId="7524C2BB" w14:textId="77777777" w:rsidR="00E70ED5" w:rsidRDefault="00E70ED5" w:rsidP="00E7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93335" w14:textId="77777777" w:rsidR="00E70ED5" w:rsidRDefault="00E70ED5" w:rsidP="00E70ED5">
      <w:pPr>
        <w:spacing w:after="0" w:line="240" w:lineRule="auto"/>
      </w:pPr>
      <w:r>
        <w:separator/>
      </w:r>
    </w:p>
  </w:footnote>
  <w:footnote w:type="continuationSeparator" w:id="0">
    <w:p w14:paraId="179D1E96" w14:textId="77777777" w:rsidR="00E70ED5" w:rsidRDefault="00E70ED5" w:rsidP="00E70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D922" w14:textId="6F50B717" w:rsidR="00E70ED5" w:rsidRDefault="00E70ED5" w:rsidP="00E70ED5">
    <w:pPr>
      <w:pStyle w:val="Header"/>
      <w:jc w:val="center"/>
    </w:pPr>
    <w:r>
      <w:rPr>
        <w:noProof/>
      </w:rPr>
      <w:drawing>
        <wp:inline distT="0" distB="0" distL="0" distR="0" wp14:anchorId="0F32825A" wp14:editId="27AA3EF5">
          <wp:extent cx="1691640" cy="1417624"/>
          <wp:effectExtent l="0" t="0" r="3810" b="0"/>
          <wp:docPr id="4861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6900" name="Picture 48616900"/>
                  <pic:cNvPicPr/>
                </pic:nvPicPr>
                <pic:blipFill>
                  <a:blip r:embed="rId1">
                    <a:extLst>
                      <a:ext uri="{28A0092B-C50C-407E-A947-70E740481C1C}">
                        <a14:useLocalDpi xmlns:a14="http://schemas.microsoft.com/office/drawing/2010/main" val="0"/>
                      </a:ext>
                    </a:extLst>
                  </a:blip>
                  <a:stretch>
                    <a:fillRect/>
                  </a:stretch>
                </pic:blipFill>
                <pic:spPr>
                  <a:xfrm>
                    <a:off x="0" y="0"/>
                    <a:ext cx="1702994" cy="1427139"/>
                  </a:xfrm>
                  <a:prstGeom prst="rect">
                    <a:avLst/>
                  </a:prstGeom>
                </pic:spPr>
              </pic:pic>
            </a:graphicData>
          </a:graphic>
        </wp:inline>
      </w:drawing>
    </w:r>
    <w:r>
      <w:rPr>
        <w:noProof/>
      </w:rPr>
      <w:drawing>
        <wp:inline distT="0" distB="0" distL="0" distR="0" wp14:anchorId="068CEE03" wp14:editId="33528DD9">
          <wp:extent cx="3726180" cy="1253504"/>
          <wp:effectExtent l="0" t="0" r="0" b="0"/>
          <wp:docPr id="1471183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83893" name="Picture 1471183893"/>
                  <pic:cNvPicPr/>
                </pic:nvPicPr>
                <pic:blipFill>
                  <a:blip r:embed="rId2">
                    <a:extLst>
                      <a:ext uri="{28A0092B-C50C-407E-A947-70E740481C1C}">
                        <a14:useLocalDpi xmlns:a14="http://schemas.microsoft.com/office/drawing/2010/main" val="0"/>
                      </a:ext>
                    </a:extLst>
                  </a:blip>
                  <a:stretch>
                    <a:fillRect/>
                  </a:stretch>
                </pic:blipFill>
                <pic:spPr>
                  <a:xfrm>
                    <a:off x="0" y="0"/>
                    <a:ext cx="3757428" cy="12640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11661"/>
    <w:multiLevelType w:val="hybridMultilevel"/>
    <w:tmpl w:val="C5722390"/>
    <w:lvl w:ilvl="0" w:tplc="378E9FEC">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537A5D"/>
    <w:multiLevelType w:val="hybridMultilevel"/>
    <w:tmpl w:val="4A5C29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9922D7A"/>
    <w:multiLevelType w:val="hybridMultilevel"/>
    <w:tmpl w:val="B6B021F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708489579">
    <w:abstractNumId w:val="0"/>
  </w:num>
  <w:num w:numId="2" w16cid:durableId="707990311">
    <w:abstractNumId w:val="2"/>
  </w:num>
  <w:num w:numId="3" w16cid:durableId="103056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6C"/>
    <w:rsid w:val="00007947"/>
    <w:rsid w:val="000167F6"/>
    <w:rsid w:val="00022446"/>
    <w:rsid w:val="000323A3"/>
    <w:rsid w:val="000409D8"/>
    <w:rsid w:val="00040F2E"/>
    <w:rsid w:val="0004443C"/>
    <w:rsid w:val="0006140C"/>
    <w:rsid w:val="00072906"/>
    <w:rsid w:val="000732A2"/>
    <w:rsid w:val="00084D5C"/>
    <w:rsid w:val="00093D75"/>
    <w:rsid w:val="0009648F"/>
    <w:rsid w:val="000B221E"/>
    <w:rsid w:val="000B3D5E"/>
    <w:rsid w:val="000B4B24"/>
    <w:rsid w:val="000B69A8"/>
    <w:rsid w:val="000C1622"/>
    <w:rsid w:val="000D0549"/>
    <w:rsid w:val="000D0F75"/>
    <w:rsid w:val="000D1B3C"/>
    <w:rsid w:val="000D235C"/>
    <w:rsid w:val="000D3898"/>
    <w:rsid w:val="000E2FD0"/>
    <w:rsid w:val="000F4CB0"/>
    <w:rsid w:val="001040EB"/>
    <w:rsid w:val="001048B5"/>
    <w:rsid w:val="00110B38"/>
    <w:rsid w:val="0011459B"/>
    <w:rsid w:val="00126348"/>
    <w:rsid w:val="001401FC"/>
    <w:rsid w:val="00141AD9"/>
    <w:rsid w:val="00156D28"/>
    <w:rsid w:val="00160D20"/>
    <w:rsid w:val="0016196C"/>
    <w:rsid w:val="00162423"/>
    <w:rsid w:val="00171258"/>
    <w:rsid w:val="00174C30"/>
    <w:rsid w:val="00175914"/>
    <w:rsid w:val="001773B3"/>
    <w:rsid w:val="00181410"/>
    <w:rsid w:val="001867FA"/>
    <w:rsid w:val="001A5E07"/>
    <w:rsid w:val="001D4993"/>
    <w:rsid w:val="001D6C4E"/>
    <w:rsid w:val="001F01A1"/>
    <w:rsid w:val="001F25EC"/>
    <w:rsid w:val="00204F88"/>
    <w:rsid w:val="002113E1"/>
    <w:rsid w:val="00223ABB"/>
    <w:rsid w:val="00227FC0"/>
    <w:rsid w:val="00232CDE"/>
    <w:rsid w:val="002440E9"/>
    <w:rsid w:val="00256AA4"/>
    <w:rsid w:val="00270FB5"/>
    <w:rsid w:val="0027100E"/>
    <w:rsid w:val="0027347B"/>
    <w:rsid w:val="00286B30"/>
    <w:rsid w:val="002A4FDB"/>
    <w:rsid w:val="002B4B50"/>
    <w:rsid w:val="002B4D45"/>
    <w:rsid w:val="002B52F5"/>
    <w:rsid w:val="002D5769"/>
    <w:rsid w:val="002E693E"/>
    <w:rsid w:val="00303B85"/>
    <w:rsid w:val="003208AE"/>
    <w:rsid w:val="00322F05"/>
    <w:rsid w:val="00323ED9"/>
    <w:rsid w:val="003354DA"/>
    <w:rsid w:val="003464B3"/>
    <w:rsid w:val="00351239"/>
    <w:rsid w:val="003744F5"/>
    <w:rsid w:val="00382ECD"/>
    <w:rsid w:val="00385CF6"/>
    <w:rsid w:val="00395DCC"/>
    <w:rsid w:val="003A061A"/>
    <w:rsid w:val="003A1BE2"/>
    <w:rsid w:val="003A4387"/>
    <w:rsid w:val="003B40B4"/>
    <w:rsid w:val="003D76CD"/>
    <w:rsid w:val="004228B3"/>
    <w:rsid w:val="00423EB0"/>
    <w:rsid w:val="0042442C"/>
    <w:rsid w:val="004349EE"/>
    <w:rsid w:val="0044043E"/>
    <w:rsid w:val="004712C6"/>
    <w:rsid w:val="004716CC"/>
    <w:rsid w:val="00481BC9"/>
    <w:rsid w:val="00491616"/>
    <w:rsid w:val="00494A30"/>
    <w:rsid w:val="004A3D5E"/>
    <w:rsid w:val="004B21E9"/>
    <w:rsid w:val="004C42EC"/>
    <w:rsid w:val="004C5D73"/>
    <w:rsid w:val="004D7981"/>
    <w:rsid w:val="004E0BF3"/>
    <w:rsid w:val="005007CF"/>
    <w:rsid w:val="00506AC2"/>
    <w:rsid w:val="0051532B"/>
    <w:rsid w:val="00517026"/>
    <w:rsid w:val="00534096"/>
    <w:rsid w:val="0053736F"/>
    <w:rsid w:val="005440C8"/>
    <w:rsid w:val="005534D6"/>
    <w:rsid w:val="00573808"/>
    <w:rsid w:val="00573A7F"/>
    <w:rsid w:val="005831EB"/>
    <w:rsid w:val="005870B8"/>
    <w:rsid w:val="005A350E"/>
    <w:rsid w:val="005A4404"/>
    <w:rsid w:val="005B5B58"/>
    <w:rsid w:val="005D5520"/>
    <w:rsid w:val="005E0752"/>
    <w:rsid w:val="005E27BD"/>
    <w:rsid w:val="005E34B4"/>
    <w:rsid w:val="005F6F58"/>
    <w:rsid w:val="0060108D"/>
    <w:rsid w:val="00616604"/>
    <w:rsid w:val="006172B5"/>
    <w:rsid w:val="00626605"/>
    <w:rsid w:val="00643CB3"/>
    <w:rsid w:val="00645F82"/>
    <w:rsid w:val="006619F2"/>
    <w:rsid w:val="00666AE5"/>
    <w:rsid w:val="0069368C"/>
    <w:rsid w:val="006B404E"/>
    <w:rsid w:val="006C20BB"/>
    <w:rsid w:val="006D0886"/>
    <w:rsid w:val="006D4DD3"/>
    <w:rsid w:val="006F0B4B"/>
    <w:rsid w:val="00701109"/>
    <w:rsid w:val="00711000"/>
    <w:rsid w:val="007140C3"/>
    <w:rsid w:val="007147CE"/>
    <w:rsid w:val="00732C0E"/>
    <w:rsid w:val="00737378"/>
    <w:rsid w:val="00742020"/>
    <w:rsid w:val="00752E56"/>
    <w:rsid w:val="00772194"/>
    <w:rsid w:val="0078158E"/>
    <w:rsid w:val="00792693"/>
    <w:rsid w:val="007963A5"/>
    <w:rsid w:val="007A2F3F"/>
    <w:rsid w:val="007A7ED7"/>
    <w:rsid w:val="007B1B9F"/>
    <w:rsid w:val="007B1F2F"/>
    <w:rsid w:val="007B7664"/>
    <w:rsid w:val="007C187A"/>
    <w:rsid w:val="007C337E"/>
    <w:rsid w:val="007C4F52"/>
    <w:rsid w:val="007C65BD"/>
    <w:rsid w:val="007E046F"/>
    <w:rsid w:val="007E76FD"/>
    <w:rsid w:val="007F7456"/>
    <w:rsid w:val="00801D5C"/>
    <w:rsid w:val="00804C34"/>
    <w:rsid w:val="008169D2"/>
    <w:rsid w:val="00831D6D"/>
    <w:rsid w:val="00833C1B"/>
    <w:rsid w:val="00834A04"/>
    <w:rsid w:val="00847049"/>
    <w:rsid w:val="008477AB"/>
    <w:rsid w:val="00850962"/>
    <w:rsid w:val="00854DF2"/>
    <w:rsid w:val="00866355"/>
    <w:rsid w:val="00897402"/>
    <w:rsid w:val="00897F20"/>
    <w:rsid w:val="008A577B"/>
    <w:rsid w:val="008B0C0E"/>
    <w:rsid w:val="008B2279"/>
    <w:rsid w:val="008B3578"/>
    <w:rsid w:val="008B7A16"/>
    <w:rsid w:val="008B7F5E"/>
    <w:rsid w:val="008E7A25"/>
    <w:rsid w:val="008F44D7"/>
    <w:rsid w:val="008F5D61"/>
    <w:rsid w:val="009311DC"/>
    <w:rsid w:val="00931F89"/>
    <w:rsid w:val="0094510C"/>
    <w:rsid w:val="00980410"/>
    <w:rsid w:val="009918B3"/>
    <w:rsid w:val="009A60CF"/>
    <w:rsid w:val="009B4572"/>
    <w:rsid w:val="009C0075"/>
    <w:rsid w:val="00A01519"/>
    <w:rsid w:val="00A05926"/>
    <w:rsid w:val="00A05954"/>
    <w:rsid w:val="00A15FEF"/>
    <w:rsid w:val="00A26BD2"/>
    <w:rsid w:val="00A426BF"/>
    <w:rsid w:val="00A464F1"/>
    <w:rsid w:val="00A652B1"/>
    <w:rsid w:val="00A80E74"/>
    <w:rsid w:val="00AA7535"/>
    <w:rsid w:val="00AB00CE"/>
    <w:rsid w:val="00AB08AF"/>
    <w:rsid w:val="00AC4BA9"/>
    <w:rsid w:val="00AC6DCB"/>
    <w:rsid w:val="00AD7243"/>
    <w:rsid w:val="00AE3542"/>
    <w:rsid w:val="00AE5EC3"/>
    <w:rsid w:val="00AE6227"/>
    <w:rsid w:val="00AE6D51"/>
    <w:rsid w:val="00B014D1"/>
    <w:rsid w:val="00B076C1"/>
    <w:rsid w:val="00B13A23"/>
    <w:rsid w:val="00B13AD4"/>
    <w:rsid w:val="00B3229A"/>
    <w:rsid w:val="00B32E44"/>
    <w:rsid w:val="00B50867"/>
    <w:rsid w:val="00B56A26"/>
    <w:rsid w:val="00B63409"/>
    <w:rsid w:val="00B6711A"/>
    <w:rsid w:val="00B67514"/>
    <w:rsid w:val="00B700EB"/>
    <w:rsid w:val="00B82A31"/>
    <w:rsid w:val="00B8511B"/>
    <w:rsid w:val="00B96098"/>
    <w:rsid w:val="00BA3454"/>
    <w:rsid w:val="00BB1DAD"/>
    <w:rsid w:val="00BC1EB7"/>
    <w:rsid w:val="00BC3C0C"/>
    <w:rsid w:val="00BC45D0"/>
    <w:rsid w:val="00BC78EB"/>
    <w:rsid w:val="00BC7F98"/>
    <w:rsid w:val="00BD046A"/>
    <w:rsid w:val="00BF0A6C"/>
    <w:rsid w:val="00BF3A94"/>
    <w:rsid w:val="00BF5E0B"/>
    <w:rsid w:val="00C031F2"/>
    <w:rsid w:val="00C05079"/>
    <w:rsid w:val="00C102A4"/>
    <w:rsid w:val="00C27351"/>
    <w:rsid w:val="00C82ADE"/>
    <w:rsid w:val="00C97179"/>
    <w:rsid w:val="00CA21A3"/>
    <w:rsid w:val="00CA2549"/>
    <w:rsid w:val="00CA257C"/>
    <w:rsid w:val="00CB390B"/>
    <w:rsid w:val="00CB7BC3"/>
    <w:rsid w:val="00CC3DA2"/>
    <w:rsid w:val="00CC40A5"/>
    <w:rsid w:val="00CD3A79"/>
    <w:rsid w:val="00CD77C1"/>
    <w:rsid w:val="00CE568D"/>
    <w:rsid w:val="00CE79AE"/>
    <w:rsid w:val="00CF3EC4"/>
    <w:rsid w:val="00D00CAE"/>
    <w:rsid w:val="00D02021"/>
    <w:rsid w:val="00D059F9"/>
    <w:rsid w:val="00D22D1E"/>
    <w:rsid w:val="00D2496B"/>
    <w:rsid w:val="00D2568F"/>
    <w:rsid w:val="00D37100"/>
    <w:rsid w:val="00D372F9"/>
    <w:rsid w:val="00D3756C"/>
    <w:rsid w:val="00D37AC7"/>
    <w:rsid w:val="00D40820"/>
    <w:rsid w:val="00D61B99"/>
    <w:rsid w:val="00D7444E"/>
    <w:rsid w:val="00D82E55"/>
    <w:rsid w:val="00DB1149"/>
    <w:rsid w:val="00DB6BDB"/>
    <w:rsid w:val="00DC672E"/>
    <w:rsid w:val="00DD229D"/>
    <w:rsid w:val="00DE3107"/>
    <w:rsid w:val="00DF2B6D"/>
    <w:rsid w:val="00DF4622"/>
    <w:rsid w:val="00DF75D5"/>
    <w:rsid w:val="00E00F8E"/>
    <w:rsid w:val="00E02D12"/>
    <w:rsid w:val="00E050EE"/>
    <w:rsid w:val="00E07D29"/>
    <w:rsid w:val="00E10B6F"/>
    <w:rsid w:val="00E1734B"/>
    <w:rsid w:val="00E24DDB"/>
    <w:rsid w:val="00E256E4"/>
    <w:rsid w:val="00E30C5D"/>
    <w:rsid w:val="00E34F39"/>
    <w:rsid w:val="00E43671"/>
    <w:rsid w:val="00E63722"/>
    <w:rsid w:val="00E70ED5"/>
    <w:rsid w:val="00E950A7"/>
    <w:rsid w:val="00EA6FE1"/>
    <w:rsid w:val="00EB4F31"/>
    <w:rsid w:val="00EC1F07"/>
    <w:rsid w:val="00ED51E8"/>
    <w:rsid w:val="00EE5038"/>
    <w:rsid w:val="00F05F27"/>
    <w:rsid w:val="00F10194"/>
    <w:rsid w:val="00F12C94"/>
    <w:rsid w:val="00F2019A"/>
    <w:rsid w:val="00F20513"/>
    <w:rsid w:val="00F21913"/>
    <w:rsid w:val="00F461A0"/>
    <w:rsid w:val="00F553A6"/>
    <w:rsid w:val="00F63475"/>
    <w:rsid w:val="00F67B69"/>
    <w:rsid w:val="00F70EFE"/>
    <w:rsid w:val="00F80B8C"/>
    <w:rsid w:val="00F83D97"/>
    <w:rsid w:val="00F8528D"/>
    <w:rsid w:val="00FA1B4D"/>
    <w:rsid w:val="00FA5B20"/>
    <w:rsid w:val="00FB6634"/>
    <w:rsid w:val="00FC3EAF"/>
    <w:rsid w:val="00FC57C9"/>
    <w:rsid w:val="00FD1ED3"/>
    <w:rsid w:val="00FF2A0E"/>
    <w:rsid w:val="00FF5582"/>
    <w:rsid w:val="00FF70BB"/>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39F57"/>
  <w15:chartTrackingRefBased/>
  <w15:docId w15:val="{B15E60EE-A55A-4E2D-AB6F-2CCD24A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56C"/>
    <w:rPr>
      <w:rFonts w:eastAsiaTheme="majorEastAsia" w:cstheme="majorBidi"/>
      <w:color w:val="272727" w:themeColor="text1" w:themeTint="D8"/>
    </w:rPr>
  </w:style>
  <w:style w:type="paragraph" w:styleId="Title">
    <w:name w:val="Title"/>
    <w:basedOn w:val="Normal"/>
    <w:next w:val="Normal"/>
    <w:link w:val="TitleChar"/>
    <w:uiPriority w:val="10"/>
    <w:qFormat/>
    <w:rsid w:val="00D37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56C"/>
    <w:pPr>
      <w:spacing w:before="160"/>
      <w:jc w:val="center"/>
    </w:pPr>
    <w:rPr>
      <w:i/>
      <w:iCs/>
      <w:color w:val="404040" w:themeColor="text1" w:themeTint="BF"/>
    </w:rPr>
  </w:style>
  <w:style w:type="character" w:customStyle="1" w:styleId="QuoteChar">
    <w:name w:val="Quote Char"/>
    <w:basedOn w:val="DefaultParagraphFont"/>
    <w:link w:val="Quote"/>
    <w:uiPriority w:val="29"/>
    <w:rsid w:val="00D3756C"/>
    <w:rPr>
      <w:i/>
      <w:iCs/>
      <w:color w:val="404040" w:themeColor="text1" w:themeTint="BF"/>
    </w:rPr>
  </w:style>
  <w:style w:type="paragraph" w:styleId="ListParagraph">
    <w:name w:val="List Paragraph"/>
    <w:basedOn w:val="Normal"/>
    <w:uiPriority w:val="34"/>
    <w:qFormat/>
    <w:rsid w:val="00D3756C"/>
    <w:pPr>
      <w:ind w:left="720"/>
      <w:contextualSpacing/>
    </w:pPr>
  </w:style>
  <w:style w:type="character" w:styleId="IntenseEmphasis">
    <w:name w:val="Intense Emphasis"/>
    <w:basedOn w:val="DefaultParagraphFont"/>
    <w:uiPriority w:val="21"/>
    <w:qFormat/>
    <w:rsid w:val="00D3756C"/>
    <w:rPr>
      <w:i/>
      <w:iCs/>
      <w:color w:val="0F4761" w:themeColor="accent1" w:themeShade="BF"/>
    </w:rPr>
  </w:style>
  <w:style w:type="paragraph" w:styleId="IntenseQuote">
    <w:name w:val="Intense Quote"/>
    <w:basedOn w:val="Normal"/>
    <w:next w:val="Normal"/>
    <w:link w:val="IntenseQuoteChar"/>
    <w:uiPriority w:val="30"/>
    <w:qFormat/>
    <w:rsid w:val="00D37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56C"/>
    <w:rPr>
      <w:i/>
      <w:iCs/>
      <w:color w:val="0F4761" w:themeColor="accent1" w:themeShade="BF"/>
    </w:rPr>
  </w:style>
  <w:style w:type="character" w:styleId="IntenseReference">
    <w:name w:val="Intense Reference"/>
    <w:basedOn w:val="DefaultParagraphFont"/>
    <w:uiPriority w:val="32"/>
    <w:qFormat/>
    <w:rsid w:val="00D3756C"/>
    <w:rPr>
      <w:b/>
      <w:bCs/>
      <w:smallCaps/>
      <w:color w:val="0F4761" w:themeColor="accent1" w:themeShade="BF"/>
      <w:spacing w:val="5"/>
    </w:rPr>
  </w:style>
  <w:style w:type="character" w:styleId="Hyperlink">
    <w:name w:val="Hyperlink"/>
    <w:basedOn w:val="DefaultParagraphFont"/>
    <w:uiPriority w:val="99"/>
    <w:unhideWhenUsed/>
    <w:rsid w:val="002A4FDB"/>
    <w:rPr>
      <w:color w:val="467886" w:themeColor="hyperlink"/>
      <w:u w:val="single"/>
    </w:rPr>
  </w:style>
  <w:style w:type="character" w:styleId="UnresolvedMention">
    <w:name w:val="Unresolved Mention"/>
    <w:basedOn w:val="DefaultParagraphFont"/>
    <w:uiPriority w:val="99"/>
    <w:semiHidden/>
    <w:unhideWhenUsed/>
    <w:rsid w:val="002A4FDB"/>
    <w:rPr>
      <w:color w:val="605E5C"/>
      <w:shd w:val="clear" w:color="auto" w:fill="E1DFDD"/>
    </w:rPr>
  </w:style>
  <w:style w:type="character" w:styleId="FollowedHyperlink">
    <w:name w:val="FollowedHyperlink"/>
    <w:basedOn w:val="DefaultParagraphFont"/>
    <w:uiPriority w:val="99"/>
    <w:semiHidden/>
    <w:unhideWhenUsed/>
    <w:rsid w:val="002A4FDB"/>
    <w:rPr>
      <w:color w:val="96607D" w:themeColor="followedHyperlink"/>
      <w:u w:val="single"/>
    </w:rPr>
  </w:style>
  <w:style w:type="paragraph" w:styleId="Header">
    <w:name w:val="header"/>
    <w:basedOn w:val="Normal"/>
    <w:link w:val="HeaderChar"/>
    <w:uiPriority w:val="99"/>
    <w:unhideWhenUsed/>
    <w:rsid w:val="00E70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ED5"/>
  </w:style>
  <w:style w:type="paragraph" w:styleId="Footer">
    <w:name w:val="footer"/>
    <w:basedOn w:val="Normal"/>
    <w:link w:val="FooterChar"/>
    <w:uiPriority w:val="99"/>
    <w:unhideWhenUsed/>
    <w:rsid w:val="00E70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a.ca/sites/default/files/Trauma%20Informed%20Engagement_F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ive-land.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c-isc.gc.ca/fra/1581971225188/1581971250953" TargetMode="External"/><Relationship Id="rId4" Type="http://schemas.openxmlformats.org/officeDocument/2006/relationships/webSettings" Target="webSettings.xml"/><Relationship Id="rId9" Type="http://schemas.openxmlformats.org/officeDocument/2006/relationships/hyperlink" Target="https://www.canada.ca/fr/sante-publique/services/publications/securite-et-risque-pour-sante/approches-traumatismes-violence-politiques-pratique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6892</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Besma Chenitti</dc:creator>
  <cp:keywords/>
  <dc:description/>
  <cp:lastModifiedBy>Amber Parker</cp:lastModifiedBy>
  <cp:revision>3</cp:revision>
  <dcterms:created xsi:type="dcterms:W3CDTF">2024-07-10T18:51:00Z</dcterms:created>
  <dcterms:modified xsi:type="dcterms:W3CDTF">2024-07-15T13:56:00Z</dcterms:modified>
</cp:coreProperties>
</file>